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6033" w14:textId="48F09A57" w:rsidR="0099345F" w:rsidRPr="004950A5" w:rsidRDefault="006D0333" w:rsidP="00F41E99">
      <w:pPr>
        <w:rPr>
          <w:b/>
          <w:bCs/>
          <w:sz w:val="24"/>
          <w:szCs w:val="24"/>
        </w:rPr>
      </w:pPr>
      <w:bookmarkStart w:id="0" w:name="_Hlk127784377"/>
      <w:r>
        <w:rPr>
          <w:b/>
          <w:bCs/>
          <w:sz w:val="24"/>
          <w:szCs w:val="24"/>
        </w:rPr>
        <w:t>Tras</w:t>
      </w:r>
      <w:r w:rsidR="00154F7C">
        <w:rPr>
          <w:b/>
          <w:bCs/>
          <w:sz w:val="24"/>
          <w:szCs w:val="24"/>
        </w:rPr>
        <w:t xml:space="preserve"> la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entrada en vigencia</w:t>
      </w:r>
      <w:proofErr w:type="gramEnd"/>
      <w:r>
        <w:rPr>
          <w:b/>
          <w:bCs/>
          <w:sz w:val="24"/>
          <w:szCs w:val="24"/>
        </w:rPr>
        <w:t xml:space="preserve"> de</w:t>
      </w:r>
      <w:r w:rsidR="00154F7C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 xml:space="preserve"> nuevo royalty</w:t>
      </w:r>
      <w:r w:rsidR="00CD4273" w:rsidRPr="004950A5">
        <w:rPr>
          <w:b/>
          <w:bCs/>
          <w:sz w:val="24"/>
          <w:szCs w:val="24"/>
        </w:rPr>
        <w:t>:</w:t>
      </w:r>
    </w:p>
    <w:p w14:paraId="4543F313" w14:textId="48602965" w:rsidR="00787D30" w:rsidRDefault="008D72F4" w:rsidP="00154F7C">
      <w:pPr>
        <w:spacing w:after="0"/>
        <w:jc w:val="center"/>
        <w:rPr>
          <w:b/>
          <w:bCs/>
          <w:sz w:val="28"/>
          <w:szCs w:val="28"/>
        </w:rPr>
      </w:pPr>
      <w:r w:rsidRPr="0042173A">
        <w:rPr>
          <w:b/>
          <w:bCs/>
          <w:sz w:val="28"/>
          <w:szCs w:val="28"/>
        </w:rPr>
        <w:t>A</w:t>
      </w:r>
      <w:r w:rsidR="00B904F0">
        <w:rPr>
          <w:b/>
          <w:bCs/>
          <w:sz w:val="28"/>
          <w:szCs w:val="28"/>
        </w:rPr>
        <w:t xml:space="preserve">ntofagasta plc </w:t>
      </w:r>
      <w:r w:rsidR="00F6778D">
        <w:rPr>
          <w:b/>
          <w:bCs/>
          <w:sz w:val="28"/>
          <w:szCs w:val="28"/>
        </w:rPr>
        <w:t xml:space="preserve">registró </w:t>
      </w:r>
      <w:r w:rsidR="00B904F0">
        <w:rPr>
          <w:b/>
          <w:bCs/>
          <w:sz w:val="28"/>
          <w:szCs w:val="28"/>
        </w:rPr>
        <w:t>US$</w:t>
      </w:r>
      <w:r w:rsidR="004A1801">
        <w:rPr>
          <w:b/>
          <w:bCs/>
          <w:sz w:val="28"/>
          <w:szCs w:val="28"/>
        </w:rPr>
        <w:t>755 millones en impuestos</w:t>
      </w:r>
      <w:r w:rsidR="00787D30">
        <w:rPr>
          <w:b/>
          <w:bCs/>
          <w:sz w:val="28"/>
          <w:szCs w:val="28"/>
        </w:rPr>
        <w:t xml:space="preserve"> </w:t>
      </w:r>
    </w:p>
    <w:p w14:paraId="32CAD157" w14:textId="48D0701F" w:rsidR="00F41E99" w:rsidRPr="0042173A" w:rsidRDefault="00154F7C" w:rsidP="00154F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durante</w:t>
      </w:r>
      <w:r w:rsidR="00787D30">
        <w:rPr>
          <w:b/>
          <w:bCs/>
          <w:sz w:val="28"/>
          <w:szCs w:val="28"/>
        </w:rPr>
        <w:t xml:space="preserve"> 2024</w:t>
      </w:r>
      <w:r w:rsidR="00DD7093">
        <w:rPr>
          <w:b/>
          <w:bCs/>
          <w:sz w:val="28"/>
          <w:szCs w:val="28"/>
        </w:rPr>
        <w:t xml:space="preserve">, </w:t>
      </w:r>
      <w:r w:rsidR="005A008E">
        <w:rPr>
          <w:b/>
          <w:bCs/>
          <w:sz w:val="28"/>
          <w:szCs w:val="28"/>
        </w:rPr>
        <w:t xml:space="preserve">un 13% más </w:t>
      </w:r>
      <w:r w:rsidR="00787D30">
        <w:rPr>
          <w:b/>
          <w:bCs/>
          <w:sz w:val="28"/>
          <w:szCs w:val="28"/>
        </w:rPr>
        <w:t>que el año anterior</w:t>
      </w:r>
      <w:r w:rsidR="005A008E">
        <w:rPr>
          <w:b/>
          <w:bCs/>
          <w:sz w:val="28"/>
          <w:szCs w:val="28"/>
        </w:rPr>
        <w:t xml:space="preserve"> </w:t>
      </w:r>
    </w:p>
    <w:p w14:paraId="0BF9CD28" w14:textId="7E7C9C4F" w:rsidR="00C137D8" w:rsidRPr="00184B7E" w:rsidRDefault="001F0905" w:rsidP="00184B7E">
      <w:pPr>
        <w:pStyle w:val="Prrafodelista"/>
        <w:numPr>
          <w:ilvl w:val="0"/>
          <w:numId w:val="2"/>
        </w:numPr>
        <w:spacing w:before="160" w:after="0"/>
        <w:ind w:left="284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 Grupo </w:t>
      </w:r>
      <w:r w:rsidR="00184B7E">
        <w:rPr>
          <w:b/>
          <w:bCs/>
          <w:sz w:val="24"/>
          <w:szCs w:val="24"/>
        </w:rPr>
        <w:t xml:space="preserve">informó que, gracias a un mayor precio del cobre, sus ingresos durante el año pasado llegaron a US$6.613 millones, lo que significa un incremento de 5% respecto a 2023. En este mismo porcentaje aumentaron sus utilidades antes de impuestos, las que llegaron a US$2.071 millones. </w:t>
      </w:r>
    </w:p>
    <w:p w14:paraId="30CB2B7A" w14:textId="385FB730" w:rsidR="008E704E" w:rsidRPr="00184B7E" w:rsidRDefault="008E704E" w:rsidP="008E704E">
      <w:pPr>
        <w:pStyle w:val="Prrafodelista"/>
        <w:numPr>
          <w:ilvl w:val="0"/>
          <w:numId w:val="2"/>
        </w:numPr>
        <w:spacing w:before="160" w:after="0"/>
        <w:ind w:left="284"/>
        <w:contextualSpacing w:val="0"/>
        <w:jc w:val="both"/>
        <w:rPr>
          <w:b/>
          <w:sz w:val="24"/>
          <w:szCs w:val="24"/>
        </w:rPr>
      </w:pPr>
      <w:bookmarkStart w:id="1" w:name="_Hlk159251831"/>
      <w:r w:rsidRPr="00184B7E">
        <w:rPr>
          <w:rFonts w:ascii="Calibri" w:hAnsi="Calibri"/>
          <w:b/>
          <w:sz w:val="24"/>
          <w:szCs w:val="24"/>
        </w:rPr>
        <w:t>“</w:t>
      </w:r>
      <w:bookmarkStart w:id="2" w:name="_Hlk159254029"/>
      <w:bookmarkEnd w:id="1"/>
      <w:r w:rsidR="00184B7E">
        <w:rPr>
          <w:rFonts w:ascii="Calibri" w:hAnsi="Calibri"/>
          <w:b/>
          <w:sz w:val="24"/>
          <w:szCs w:val="24"/>
        </w:rPr>
        <w:t>Nuestros</w:t>
      </w:r>
      <w:r w:rsidR="00184B7E" w:rsidRPr="00184B7E">
        <w:rPr>
          <w:rFonts w:ascii="Calibri" w:hAnsi="Calibri"/>
          <w:b/>
          <w:sz w:val="24"/>
          <w:szCs w:val="24"/>
        </w:rPr>
        <w:t xml:space="preserve"> resultados </w:t>
      </w:r>
      <w:r w:rsidR="00184B7E">
        <w:rPr>
          <w:rFonts w:ascii="Calibri" w:hAnsi="Calibri"/>
          <w:b/>
          <w:sz w:val="24"/>
          <w:szCs w:val="24"/>
        </w:rPr>
        <w:t xml:space="preserve">financieros </w:t>
      </w:r>
      <w:r w:rsidR="00184B7E" w:rsidRPr="00184B7E">
        <w:rPr>
          <w:rFonts w:ascii="Calibri" w:hAnsi="Calibri"/>
          <w:b/>
          <w:sz w:val="24"/>
          <w:szCs w:val="24"/>
        </w:rPr>
        <w:t xml:space="preserve">son una demostración de la calidad de nuestras operaciones en Chile y de nuestra capacidad para mantener </w:t>
      </w:r>
      <w:r w:rsidR="00F6778D">
        <w:rPr>
          <w:rFonts w:ascii="Calibri" w:hAnsi="Calibri"/>
          <w:b/>
          <w:sz w:val="24"/>
          <w:szCs w:val="24"/>
        </w:rPr>
        <w:t xml:space="preserve">el </w:t>
      </w:r>
      <w:r w:rsidR="00184B7E" w:rsidRPr="00184B7E">
        <w:rPr>
          <w:rFonts w:ascii="Calibri" w:hAnsi="Calibri"/>
          <w:b/>
          <w:sz w:val="24"/>
          <w:szCs w:val="24"/>
        </w:rPr>
        <w:t xml:space="preserve">control de </w:t>
      </w:r>
      <w:r w:rsidR="00F6778D">
        <w:rPr>
          <w:rFonts w:ascii="Calibri" w:hAnsi="Calibri"/>
          <w:b/>
          <w:sz w:val="24"/>
          <w:szCs w:val="24"/>
        </w:rPr>
        <w:t xml:space="preserve">los </w:t>
      </w:r>
      <w:r w:rsidR="00184B7E" w:rsidRPr="00184B7E">
        <w:rPr>
          <w:rFonts w:ascii="Calibri" w:hAnsi="Calibri"/>
          <w:b/>
          <w:sz w:val="24"/>
          <w:szCs w:val="24"/>
        </w:rPr>
        <w:t xml:space="preserve">costos. Hemos </w:t>
      </w:r>
      <w:r w:rsidR="00F6778D">
        <w:rPr>
          <w:rFonts w:ascii="Calibri" w:hAnsi="Calibri"/>
          <w:b/>
          <w:sz w:val="24"/>
          <w:szCs w:val="24"/>
        </w:rPr>
        <w:t xml:space="preserve">aumentado </w:t>
      </w:r>
      <w:r w:rsidR="00184B7E" w:rsidRPr="00184B7E">
        <w:rPr>
          <w:rFonts w:ascii="Calibri" w:hAnsi="Calibri"/>
          <w:b/>
          <w:sz w:val="24"/>
          <w:szCs w:val="24"/>
        </w:rPr>
        <w:t>los ingresos y la generación de flujo de caja, y nuestro margen de EBITDA se amplió al 52%, lo que nos sitúa en una buena posición dentro de los productores de cobre en el mundo”, señaló Iván Arriagada</w:t>
      </w:r>
      <w:r w:rsidRPr="00184B7E">
        <w:rPr>
          <w:b/>
          <w:sz w:val="24"/>
          <w:szCs w:val="24"/>
        </w:rPr>
        <w:t xml:space="preserve">, </w:t>
      </w:r>
      <w:proofErr w:type="gramStart"/>
      <w:r w:rsidRPr="00184B7E">
        <w:rPr>
          <w:b/>
          <w:sz w:val="24"/>
          <w:szCs w:val="24"/>
        </w:rPr>
        <w:t>Presidente Ejecutivo</w:t>
      </w:r>
      <w:proofErr w:type="gramEnd"/>
      <w:r w:rsidRPr="00184B7E">
        <w:rPr>
          <w:b/>
          <w:sz w:val="24"/>
          <w:szCs w:val="24"/>
        </w:rPr>
        <w:t xml:space="preserve"> de Antofagasta plc.</w:t>
      </w:r>
      <w:bookmarkEnd w:id="2"/>
    </w:p>
    <w:p w14:paraId="2CF8D43E" w14:textId="77777777" w:rsidR="00AC4FA0" w:rsidRDefault="00AC4FA0" w:rsidP="00AC4FA0">
      <w:pPr>
        <w:pStyle w:val="Prrafodelista"/>
        <w:spacing w:before="220" w:after="120"/>
        <w:jc w:val="both"/>
        <w:rPr>
          <w:rFonts w:asciiTheme="majorHAnsi" w:hAnsiTheme="majorHAnsi"/>
          <w:b/>
          <w:bCs/>
        </w:rPr>
      </w:pPr>
    </w:p>
    <w:p w14:paraId="60F32B0F" w14:textId="02E6A16A" w:rsidR="00AC4FA0" w:rsidRPr="00AC4FA0" w:rsidRDefault="00AC4FA0" w:rsidP="00AC4FA0">
      <w:pPr>
        <w:pStyle w:val="Default"/>
        <w:pBdr>
          <w:bottom w:val="single" w:sz="4" w:space="1" w:color="auto"/>
        </w:pBdr>
        <w:spacing w:before="120" w:after="120"/>
        <w:jc w:val="right"/>
        <w:rPr>
          <w:rFonts w:asciiTheme="minorHAnsi" w:hAnsiTheme="minorHAnsi" w:cstheme="minorHAnsi"/>
          <w:color w:val="auto"/>
        </w:rPr>
      </w:pPr>
      <w:r w:rsidRPr="00AC4FA0">
        <w:rPr>
          <w:rFonts w:asciiTheme="minorHAnsi" w:hAnsiTheme="minorHAnsi" w:cstheme="minorHAnsi"/>
          <w:color w:val="auto"/>
        </w:rPr>
        <w:t xml:space="preserve">Santiago, </w:t>
      </w:r>
      <w:r w:rsidR="00A121C4">
        <w:rPr>
          <w:rFonts w:asciiTheme="minorHAnsi" w:hAnsiTheme="minorHAnsi" w:cstheme="minorHAnsi"/>
          <w:color w:val="auto"/>
        </w:rPr>
        <w:t>18</w:t>
      </w:r>
      <w:r w:rsidRPr="00AC4FA0">
        <w:rPr>
          <w:rFonts w:asciiTheme="minorHAnsi" w:hAnsiTheme="minorHAnsi" w:cstheme="minorHAnsi"/>
          <w:color w:val="auto"/>
        </w:rPr>
        <w:t xml:space="preserve"> de febrero de 202</w:t>
      </w:r>
      <w:r w:rsidR="00A121C4">
        <w:rPr>
          <w:rFonts w:asciiTheme="minorHAnsi" w:hAnsiTheme="minorHAnsi" w:cstheme="minorHAnsi"/>
          <w:color w:val="auto"/>
        </w:rPr>
        <w:t>5</w:t>
      </w:r>
    </w:p>
    <w:p w14:paraId="72017A9B" w14:textId="3B67DC85" w:rsidR="00A0200F" w:rsidRDefault="001873DB" w:rsidP="00F85E57">
      <w:pPr>
        <w:spacing w:after="1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Antofagasta plc, matriz de Antofagasta Minerals y del Ferrocarril Antofagasta Bolivia (FC</w:t>
      </w:r>
      <w:r w:rsidR="00184B7E">
        <w:rPr>
          <w:rFonts w:ascii="Calibri" w:hAnsi="Calibri"/>
          <w:bCs/>
          <w:sz w:val="24"/>
          <w:szCs w:val="24"/>
        </w:rPr>
        <w:t>A</w:t>
      </w:r>
      <w:r>
        <w:rPr>
          <w:rFonts w:ascii="Calibri" w:hAnsi="Calibri"/>
          <w:bCs/>
          <w:sz w:val="24"/>
          <w:szCs w:val="24"/>
        </w:rPr>
        <w:t xml:space="preserve">B), </w:t>
      </w:r>
      <w:r w:rsidR="00101FBE">
        <w:rPr>
          <w:rFonts w:ascii="Calibri" w:hAnsi="Calibri"/>
          <w:bCs/>
          <w:sz w:val="24"/>
          <w:szCs w:val="24"/>
        </w:rPr>
        <w:t>comunicó</w:t>
      </w:r>
      <w:r>
        <w:rPr>
          <w:rFonts w:ascii="Calibri" w:hAnsi="Calibri"/>
          <w:bCs/>
          <w:sz w:val="24"/>
          <w:szCs w:val="24"/>
        </w:rPr>
        <w:t xml:space="preserve"> hoy que </w:t>
      </w:r>
      <w:r w:rsidR="00F6778D">
        <w:rPr>
          <w:rFonts w:ascii="Calibri" w:hAnsi="Calibri"/>
          <w:bCs/>
          <w:sz w:val="24"/>
          <w:szCs w:val="24"/>
        </w:rPr>
        <w:t>registr</w:t>
      </w:r>
      <w:r w:rsidR="005861E5">
        <w:rPr>
          <w:rFonts w:ascii="Calibri" w:hAnsi="Calibri"/>
          <w:bCs/>
          <w:sz w:val="24"/>
          <w:szCs w:val="24"/>
        </w:rPr>
        <w:t>ó</w:t>
      </w:r>
      <w:r w:rsidR="00A0200F">
        <w:rPr>
          <w:rFonts w:ascii="Calibri" w:hAnsi="Calibri"/>
          <w:bCs/>
          <w:sz w:val="24"/>
          <w:szCs w:val="24"/>
        </w:rPr>
        <w:t xml:space="preserve"> impuestos por US$755 millones durante 2024, un 13% más que el año anterior. Este aumento se explica principalmente por los efectos de la </w:t>
      </w:r>
      <w:proofErr w:type="gramStart"/>
      <w:r w:rsidR="00A0200F">
        <w:rPr>
          <w:rFonts w:ascii="Calibri" w:hAnsi="Calibri"/>
          <w:bCs/>
          <w:sz w:val="24"/>
          <w:szCs w:val="24"/>
        </w:rPr>
        <w:t>entrada en vigencia</w:t>
      </w:r>
      <w:proofErr w:type="gramEnd"/>
      <w:r w:rsidR="00101FBE">
        <w:rPr>
          <w:rFonts w:ascii="Calibri" w:hAnsi="Calibri"/>
          <w:bCs/>
          <w:sz w:val="24"/>
          <w:szCs w:val="24"/>
        </w:rPr>
        <w:t xml:space="preserve"> </w:t>
      </w:r>
      <w:r w:rsidR="00A0200F">
        <w:rPr>
          <w:rFonts w:ascii="Calibri" w:hAnsi="Calibri"/>
          <w:bCs/>
          <w:sz w:val="24"/>
          <w:szCs w:val="24"/>
        </w:rPr>
        <w:t xml:space="preserve">del nuevo royalty sobre Minera Los Pelambres, ya que tanto Minera Centinela como Minera Antucoya mantienen invariabilidad tributaria hasta el año 2030. </w:t>
      </w:r>
    </w:p>
    <w:p w14:paraId="784334F0" w14:textId="7352FCE5" w:rsidR="00184B7E" w:rsidRDefault="001F0905" w:rsidP="00F85E57">
      <w:pPr>
        <w:spacing w:after="1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“</w:t>
      </w:r>
      <w:r w:rsidR="00184B7E">
        <w:rPr>
          <w:rFonts w:ascii="Calibri" w:hAnsi="Calibri"/>
          <w:bCs/>
          <w:sz w:val="24"/>
          <w:szCs w:val="24"/>
        </w:rPr>
        <w:t>Nuestras utilidades antes de impuestos llegaron a US$2.071 millones en 2024, un 5% por sobre 2023. Es decir, lo que generamos en recursos para el Estado a través de nuestras distintas operaciones creció</w:t>
      </w:r>
      <w:r w:rsidR="00567074">
        <w:rPr>
          <w:rFonts w:ascii="Calibri" w:hAnsi="Calibri"/>
          <w:bCs/>
          <w:sz w:val="24"/>
          <w:szCs w:val="24"/>
        </w:rPr>
        <w:t xml:space="preserve"> </w:t>
      </w:r>
      <w:r w:rsidR="00184B7E">
        <w:rPr>
          <w:rFonts w:ascii="Calibri" w:hAnsi="Calibri"/>
          <w:bCs/>
          <w:sz w:val="24"/>
          <w:szCs w:val="24"/>
        </w:rPr>
        <w:t xml:space="preserve">más que nuestras utilidades”, explicó Iván Arriagada, </w:t>
      </w:r>
      <w:proofErr w:type="gramStart"/>
      <w:r w:rsidR="00184B7E">
        <w:rPr>
          <w:rFonts w:ascii="Calibri" w:hAnsi="Calibri"/>
          <w:bCs/>
          <w:sz w:val="24"/>
          <w:szCs w:val="24"/>
        </w:rPr>
        <w:t>Presidente Ejecutivo</w:t>
      </w:r>
      <w:proofErr w:type="gramEnd"/>
      <w:r w:rsidR="00184B7E">
        <w:rPr>
          <w:rFonts w:ascii="Calibri" w:hAnsi="Calibri"/>
          <w:bCs/>
          <w:sz w:val="24"/>
          <w:szCs w:val="24"/>
        </w:rPr>
        <w:t xml:space="preserve"> de Antofagasta plc.</w:t>
      </w:r>
    </w:p>
    <w:p w14:paraId="7C281265" w14:textId="51BCC69D" w:rsidR="00101FBE" w:rsidRDefault="00A0200F" w:rsidP="00F85E57">
      <w:pPr>
        <w:spacing w:after="120"/>
        <w:jc w:val="both"/>
        <w:rPr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En la presentación de sus resultados financieros realizada en Londres, la compañía </w:t>
      </w:r>
      <w:r w:rsidR="00101FBE">
        <w:rPr>
          <w:rFonts w:ascii="Calibri" w:hAnsi="Calibri"/>
          <w:bCs/>
          <w:sz w:val="24"/>
          <w:szCs w:val="24"/>
        </w:rPr>
        <w:t>informó</w:t>
      </w:r>
      <w:r>
        <w:rPr>
          <w:rFonts w:ascii="Calibri" w:hAnsi="Calibri"/>
          <w:bCs/>
          <w:sz w:val="24"/>
          <w:szCs w:val="24"/>
        </w:rPr>
        <w:t xml:space="preserve"> ingresos por US$6.613 millones, un 5% mayor a lo obtenido en 2023, gracias al mayor precio del cobre, lo que compensó un</w:t>
      </w:r>
      <w:r w:rsidR="00F6778D">
        <w:rPr>
          <w:rFonts w:ascii="Calibri" w:hAnsi="Calibri"/>
          <w:bCs/>
          <w:sz w:val="24"/>
          <w:szCs w:val="24"/>
        </w:rPr>
        <w:t xml:space="preserve">a reprogramación </w:t>
      </w:r>
      <w:r>
        <w:rPr>
          <w:rFonts w:ascii="Calibri" w:hAnsi="Calibri"/>
          <w:bCs/>
          <w:sz w:val="24"/>
          <w:szCs w:val="24"/>
        </w:rPr>
        <w:t>en algunos embarques a fines del 2024 debido a marejadas en el norte de Chile.</w:t>
      </w:r>
      <w:r w:rsidRPr="00A0200F">
        <w:rPr>
          <w:sz w:val="24"/>
          <w:szCs w:val="24"/>
        </w:rPr>
        <w:t xml:space="preserve"> </w:t>
      </w:r>
      <w:r w:rsidR="00101FBE">
        <w:rPr>
          <w:sz w:val="24"/>
          <w:szCs w:val="24"/>
        </w:rPr>
        <w:t xml:space="preserve">El flujo de </w:t>
      </w:r>
      <w:r w:rsidR="001F0905">
        <w:rPr>
          <w:sz w:val="24"/>
          <w:szCs w:val="24"/>
        </w:rPr>
        <w:t xml:space="preserve">caja de </w:t>
      </w:r>
      <w:r w:rsidR="00101FBE">
        <w:rPr>
          <w:sz w:val="24"/>
          <w:szCs w:val="24"/>
        </w:rPr>
        <w:t xml:space="preserve">las operaciones se incrementó en 8%, llegando </w:t>
      </w:r>
      <w:r w:rsidR="001F0905">
        <w:rPr>
          <w:sz w:val="24"/>
          <w:szCs w:val="24"/>
        </w:rPr>
        <w:t>a US$3.276 millones</w:t>
      </w:r>
      <w:r w:rsidR="00101FBE">
        <w:rPr>
          <w:sz w:val="24"/>
          <w:szCs w:val="24"/>
        </w:rPr>
        <w:t>.</w:t>
      </w:r>
    </w:p>
    <w:p w14:paraId="14D41895" w14:textId="4640DD2A" w:rsidR="00101FBE" w:rsidRDefault="00A0200F" w:rsidP="00F85E57">
      <w:pPr>
        <w:spacing w:after="120"/>
        <w:jc w:val="both"/>
        <w:rPr>
          <w:rFonts w:ascii="Calibri" w:hAnsi="Calibri"/>
          <w:bCs/>
          <w:sz w:val="24"/>
          <w:szCs w:val="24"/>
        </w:rPr>
      </w:pPr>
      <w:r>
        <w:rPr>
          <w:sz w:val="24"/>
          <w:szCs w:val="24"/>
        </w:rPr>
        <w:t xml:space="preserve">Además, </w:t>
      </w:r>
      <w:r w:rsidR="00101FBE">
        <w:rPr>
          <w:sz w:val="24"/>
          <w:szCs w:val="24"/>
        </w:rPr>
        <w:t>a través de</w:t>
      </w:r>
      <w:r>
        <w:rPr>
          <w:sz w:val="24"/>
          <w:szCs w:val="24"/>
        </w:rPr>
        <w:t>l Programa de Competitividad</w:t>
      </w:r>
      <w:r w:rsidR="00101FBE">
        <w:rPr>
          <w:sz w:val="24"/>
          <w:szCs w:val="24"/>
        </w:rPr>
        <w:t xml:space="preserve"> impulsado en todas sus </w:t>
      </w:r>
      <w:r w:rsidR="00184B7E">
        <w:rPr>
          <w:sz w:val="24"/>
          <w:szCs w:val="24"/>
        </w:rPr>
        <w:t>compañías</w:t>
      </w:r>
      <w:r>
        <w:rPr>
          <w:sz w:val="24"/>
          <w:szCs w:val="24"/>
        </w:rPr>
        <w:t>, se logró un ahorro de US$248 millones</w:t>
      </w:r>
      <w:r w:rsidR="00F6778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101FBE">
        <w:rPr>
          <w:rFonts w:ascii="Calibri" w:hAnsi="Calibri"/>
          <w:bCs/>
          <w:sz w:val="24"/>
          <w:szCs w:val="24"/>
        </w:rPr>
        <w:t>De esta forma, las utilidades del Grupo antes de impuesto</w:t>
      </w:r>
      <w:r w:rsidR="007107D9">
        <w:rPr>
          <w:rFonts w:ascii="Calibri" w:hAnsi="Calibri"/>
          <w:bCs/>
          <w:sz w:val="24"/>
          <w:szCs w:val="24"/>
        </w:rPr>
        <w:t>s</w:t>
      </w:r>
      <w:r w:rsidR="00101FBE">
        <w:rPr>
          <w:rFonts w:ascii="Calibri" w:hAnsi="Calibri"/>
          <w:bCs/>
          <w:sz w:val="24"/>
          <w:szCs w:val="24"/>
        </w:rPr>
        <w:t xml:space="preserve"> llegaron a US$2.071 millones, un 5% mayor que en 2023</w:t>
      </w:r>
      <w:r w:rsidR="00184B7E">
        <w:rPr>
          <w:rFonts w:ascii="Calibri" w:hAnsi="Calibri"/>
          <w:bCs/>
          <w:sz w:val="24"/>
          <w:szCs w:val="24"/>
        </w:rPr>
        <w:t>.</w:t>
      </w:r>
      <w:r w:rsidR="00101FBE">
        <w:rPr>
          <w:rFonts w:ascii="Calibri" w:hAnsi="Calibri"/>
          <w:bCs/>
          <w:sz w:val="24"/>
          <w:szCs w:val="24"/>
        </w:rPr>
        <w:t xml:space="preserve"> </w:t>
      </w:r>
    </w:p>
    <w:p w14:paraId="3B09E0ED" w14:textId="1DC659E9" w:rsidR="00101FBE" w:rsidRDefault="00101FBE" w:rsidP="00101FBE">
      <w:pPr>
        <w:spacing w:after="1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“</w:t>
      </w:r>
      <w:bookmarkStart w:id="3" w:name="_Hlk190699282"/>
      <w:r w:rsidRPr="00E81991">
        <w:rPr>
          <w:rFonts w:ascii="Calibri" w:hAnsi="Calibri"/>
          <w:bCs/>
          <w:sz w:val="24"/>
          <w:szCs w:val="24"/>
        </w:rPr>
        <w:t>Los resultados de hoy son una demostración de la calidad de nuestr</w:t>
      </w:r>
      <w:r>
        <w:rPr>
          <w:rFonts w:ascii="Calibri" w:hAnsi="Calibri"/>
          <w:bCs/>
          <w:sz w:val="24"/>
          <w:szCs w:val="24"/>
        </w:rPr>
        <w:t>as</w:t>
      </w:r>
      <w:r w:rsidRPr="00E81991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operaciones</w:t>
      </w:r>
      <w:r w:rsidRPr="00E81991">
        <w:rPr>
          <w:rFonts w:ascii="Calibri" w:hAnsi="Calibri"/>
          <w:bCs/>
          <w:sz w:val="24"/>
          <w:szCs w:val="24"/>
        </w:rPr>
        <w:t xml:space="preserve"> en Chile y de nuestra capacidad para mantener </w:t>
      </w:r>
      <w:r w:rsidR="00F6778D">
        <w:rPr>
          <w:rFonts w:ascii="Calibri" w:hAnsi="Calibri"/>
          <w:bCs/>
          <w:sz w:val="24"/>
          <w:szCs w:val="24"/>
        </w:rPr>
        <w:t xml:space="preserve">el </w:t>
      </w:r>
      <w:r w:rsidRPr="00E81991">
        <w:rPr>
          <w:rFonts w:ascii="Calibri" w:hAnsi="Calibri"/>
          <w:bCs/>
          <w:sz w:val="24"/>
          <w:szCs w:val="24"/>
        </w:rPr>
        <w:t xml:space="preserve">control de </w:t>
      </w:r>
      <w:r w:rsidR="00F6778D">
        <w:rPr>
          <w:rFonts w:ascii="Calibri" w:hAnsi="Calibri"/>
          <w:bCs/>
          <w:sz w:val="24"/>
          <w:szCs w:val="24"/>
        </w:rPr>
        <w:t xml:space="preserve">los </w:t>
      </w:r>
      <w:r w:rsidRPr="00E81991">
        <w:rPr>
          <w:rFonts w:ascii="Calibri" w:hAnsi="Calibri"/>
          <w:bCs/>
          <w:sz w:val="24"/>
          <w:szCs w:val="24"/>
        </w:rPr>
        <w:t>cost</w:t>
      </w:r>
      <w:r>
        <w:rPr>
          <w:rFonts w:ascii="Calibri" w:hAnsi="Calibri"/>
          <w:bCs/>
          <w:sz w:val="24"/>
          <w:szCs w:val="24"/>
        </w:rPr>
        <w:t>o</w:t>
      </w:r>
      <w:r w:rsidRPr="00E81991">
        <w:rPr>
          <w:rFonts w:ascii="Calibri" w:hAnsi="Calibri"/>
          <w:bCs/>
          <w:sz w:val="24"/>
          <w:szCs w:val="24"/>
        </w:rPr>
        <w:t xml:space="preserve">s. Hemos </w:t>
      </w:r>
      <w:r w:rsidR="00F6778D">
        <w:rPr>
          <w:rFonts w:ascii="Calibri" w:hAnsi="Calibri"/>
          <w:bCs/>
          <w:sz w:val="24"/>
          <w:szCs w:val="24"/>
        </w:rPr>
        <w:t xml:space="preserve">aumentado </w:t>
      </w:r>
      <w:r w:rsidRPr="00E81991">
        <w:rPr>
          <w:rFonts w:ascii="Calibri" w:hAnsi="Calibri"/>
          <w:bCs/>
          <w:sz w:val="24"/>
          <w:szCs w:val="24"/>
        </w:rPr>
        <w:t xml:space="preserve">los ingresos y </w:t>
      </w:r>
      <w:r>
        <w:rPr>
          <w:rFonts w:ascii="Calibri" w:hAnsi="Calibri"/>
          <w:bCs/>
          <w:sz w:val="24"/>
          <w:szCs w:val="24"/>
        </w:rPr>
        <w:t xml:space="preserve">la </w:t>
      </w:r>
      <w:r w:rsidRPr="00E81991">
        <w:rPr>
          <w:rFonts w:ascii="Calibri" w:hAnsi="Calibri"/>
          <w:bCs/>
          <w:sz w:val="24"/>
          <w:szCs w:val="24"/>
        </w:rPr>
        <w:t xml:space="preserve">generación de flujo de caja, y nuestro margen de EBITDA se amplió al 52%, </w:t>
      </w:r>
      <w:r>
        <w:rPr>
          <w:rFonts w:ascii="Calibri" w:hAnsi="Calibri"/>
          <w:bCs/>
          <w:sz w:val="24"/>
          <w:szCs w:val="24"/>
        </w:rPr>
        <w:t xml:space="preserve">lo </w:t>
      </w:r>
      <w:r>
        <w:rPr>
          <w:rFonts w:ascii="Calibri" w:hAnsi="Calibri"/>
          <w:bCs/>
          <w:sz w:val="24"/>
          <w:szCs w:val="24"/>
        </w:rPr>
        <w:lastRenderedPageBreak/>
        <w:t xml:space="preserve">que nos sitúa en una buena posición dentro de los productores de cobre en el mundo”, señaló Iván Arriagada. </w:t>
      </w:r>
      <w:bookmarkEnd w:id="3"/>
    </w:p>
    <w:p w14:paraId="250F625D" w14:textId="535F1026" w:rsidR="00FC4EE1" w:rsidRDefault="00F6778D" w:rsidP="00FC4EE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logro más importante del año fueron los resultados </w:t>
      </w:r>
      <w:r w:rsidR="007107D9">
        <w:rPr>
          <w:sz w:val="24"/>
          <w:szCs w:val="24"/>
        </w:rPr>
        <w:t xml:space="preserve">en </w:t>
      </w:r>
      <w:r w:rsidR="00FC4EE1">
        <w:rPr>
          <w:sz w:val="24"/>
          <w:szCs w:val="24"/>
        </w:rPr>
        <w:t xml:space="preserve">seguridad y salud ocupacional, sin accidentes fatales y con mejoras en todos los indicadores. </w:t>
      </w:r>
      <w:r w:rsidR="008310C2">
        <w:rPr>
          <w:sz w:val="24"/>
          <w:szCs w:val="24"/>
        </w:rPr>
        <w:t xml:space="preserve">Por </w:t>
      </w:r>
      <w:r w:rsidR="00337855">
        <w:rPr>
          <w:sz w:val="24"/>
          <w:szCs w:val="24"/>
        </w:rPr>
        <w:t>otra</w:t>
      </w:r>
      <w:r w:rsidR="008310C2">
        <w:rPr>
          <w:sz w:val="24"/>
          <w:szCs w:val="24"/>
        </w:rPr>
        <w:t xml:space="preserve"> parte</w:t>
      </w:r>
      <w:r w:rsidR="00FC4EE1">
        <w:rPr>
          <w:sz w:val="24"/>
          <w:szCs w:val="24"/>
        </w:rPr>
        <w:t xml:space="preserve">, la compañía siguió avanzando en </w:t>
      </w:r>
      <w:r>
        <w:rPr>
          <w:sz w:val="24"/>
          <w:szCs w:val="24"/>
        </w:rPr>
        <w:t>desarrollar equipo</w:t>
      </w:r>
      <w:r w:rsidR="009B16FC">
        <w:rPr>
          <w:sz w:val="24"/>
          <w:szCs w:val="24"/>
        </w:rPr>
        <w:t>s</w:t>
      </w:r>
      <w:r>
        <w:rPr>
          <w:sz w:val="24"/>
          <w:szCs w:val="24"/>
        </w:rPr>
        <w:t xml:space="preserve"> de trabajo balanceados, </w:t>
      </w:r>
      <w:r w:rsidR="00FC4EE1">
        <w:rPr>
          <w:sz w:val="24"/>
          <w:szCs w:val="24"/>
        </w:rPr>
        <w:t>llegando al 2</w:t>
      </w:r>
      <w:r w:rsidR="00184B7E">
        <w:rPr>
          <w:sz w:val="24"/>
          <w:szCs w:val="24"/>
        </w:rPr>
        <w:t>6,6</w:t>
      </w:r>
      <w:r w:rsidR="00FC4EE1">
        <w:rPr>
          <w:sz w:val="24"/>
          <w:szCs w:val="24"/>
        </w:rPr>
        <w:t>%</w:t>
      </w:r>
      <w:r w:rsidR="00726709">
        <w:rPr>
          <w:sz w:val="24"/>
          <w:szCs w:val="24"/>
        </w:rPr>
        <w:t xml:space="preserve"> de participación de mujeres</w:t>
      </w:r>
      <w:r w:rsidR="00FC4EE1">
        <w:rPr>
          <w:sz w:val="24"/>
          <w:szCs w:val="24"/>
        </w:rPr>
        <w:t xml:space="preserve">, lo que está </w:t>
      </w:r>
      <w:r w:rsidR="006A2F38">
        <w:rPr>
          <w:sz w:val="24"/>
          <w:szCs w:val="24"/>
        </w:rPr>
        <w:t xml:space="preserve">muy </w:t>
      </w:r>
      <w:r w:rsidR="00FC4EE1">
        <w:rPr>
          <w:sz w:val="24"/>
          <w:szCs w:val="24"/>
        </w:rPr>
        <w:t>por sobre el 2</w:t>
      </w:r>
      <w:r w:rsidR="008310C2">
        <w:rPr>
          <w:sz w:val="24"/>
          <w:szCs w:val="24"/>
        </w:rPr>
        <w:t>3,6</w:t>
      </w:r>
      <w:r w:rsidR="00FC4EE1">
        <w:rPr>
          <w:sz w:val="24"/>
          <w:szCs w:val="24"/>
        </w:rPr>
        <w:t>% obtenido en 202</w:t>
      </w:r>
      <w:r w:rsidR="008310C2">
        <w:rPr>
          <w:sz w:val="24"/>
          <w:szCs w:val="24"/>
        </w:rPr>
        <w:t>3</w:t>
      </w:r>
      <w:r w:rsidR="00FC4EE1">
        <w:rPr>
          <w:sz w:val="24"/>
          <w:szCs w:val="24"/>
        </w:rPr>
        <w:t>.</w:t>
      </w:r>
    </w:p>
    <w:p w14:paraId="47DC94D4" w14:textId="0F1CABE1" w:rsidR="00F3148A" w:rsidRPr="00803E02" w:rsidRDefault="001F0905" w:rsidP="00F85E57">
      <w:pPr>
        <w:spacing w:after="120"/>
        <w:jc w:val="both"/>
        <w:rPr>
          <w:rFonts w:ascii="Calibri" w:hAnsi="Calibri"/>
          <w:bCs/>
          <w:sz w:val="24"/>
          <w:szCs w:val="24"/>
        </w:rPr>
      </w:pPr>
      <w:r>
        <w:rPr>
          <w:sz w:val="24"/>
          <w:szCs w:val="24"/>
        </w:rPr>
        <w:t>Iván Arriagada</w:t>
      </w:r>
      <w:r w:rsidR="00CE7E37">
        <w:rPr>
          <w:sz w:val="24"/>
          <w:szCs w:val="24"/>
        </w:rPr>
        <w:t xml:space="preserve"> subrayó </w:t>
      </w:r>
      <w:r>
        <w:rPr>
          <w:sz w:val="24"/>
          <w:szCs w:val="24"/>
        </w:rPr>
        <w:t xml:space="preserve">también </w:t>
      </w:r>
      <w:r w:rsidR="00CE7E37">
        <w:rPr>
          <w:sz w:val="24"/>
          <w:szCs w:val="24"/>
        </w:rPr>
        <w:t xml:space="preserve">la importancia que tiene y seguirá teniendo el cobre </w:t>
      </w:r>
      <w:r w:rsidR="004B589F">
        <w:rPr>
          <w:sz w:val="24"/>
          <w:szCs w:val="24"/>
        </w:rPr>
        <w:t>en el futuro. “</w:t>
      </w:r>
      <w:r w:rsidR="00E81991" w:rsidRPr="00E81991">
        <w:rPr>
          <w:rFonts w:ascii="Calibri" w:hAnsi="Calibri"/>
          <w:bCs/>
          <w:sz w:val="24"/>
          <w:szCs w:val="24"/>
        </w:rPr>
        <w:t xml:space="preserve">El </w:t>
      </w:r>
      <w:r>
        <w:rPr>
          <w:rFonts w:ascii="Calibri" w:hAnsi="Calibri"/>
          <w:bCs/>
          <w:sz w:val="24"/>
          <w:szCs w:val="24"/>
        </w:rPr>
        <w:t>mundo necesita más cobre porque este metal tiene un rol</w:t>
      </w:r>
      <w:r w:rsidR="00E81991" w:rsidRPr="00E81991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indispensable</w:t>
      </w:r>
      <w:r w:rsidR="00E81991" w:rsidRPr="00E81991">
        <w:rPr>
          <w:rFonts w:ascii="Calibri" w:hAnsi="Calibri"/>
          <w:bCs/>
          <w:sz w:val="24"/>
          <w:szCs w:val="24"/>
        </w:rPr>
        <w:t xml:space="preserve"> en la seguridad energética y</w:t>
      </w:r>
      <w:r>
        <w:rPr>
          <w:rFonts w:ascii="Calibri" w:hAnsi="Calibri"/>
          <w:bCs/>
          <w:sz w:val="24"/>
          <w:szCs w:val="24"/>
        </w:rPr>
        <w:t xml:space="preserve"> en</w:t>
      </w:r>
      <w:r w:rsidR="00E81991" w:rsidRPr="00E81991">
        <w:rPr>
          <w:rFonts w:ascii="Calibri" w:hAnsi="Calibri"/>
          <w:bCs/>
          <w:sz w:val="24"/>
          <w:szCs w:val="24"/>
        </w:rPr>
        <w:t xml:space="preserve"> la </w:t>
      </w:r>
      <w:r w:rsidR="00726709" w:rsidRPr="00E81991">
        <w:rPr>
          <w:rFonts w:ascii="Calibri" w:hAnsi="Calibri"/>
          <w:bCs/>
          <w:sz w:val="24"/>
          <w:szCs w:val="24"/>
        </w:rPr>
        <w:t>electrificación</w:t>
      </w:r>
      <w:r w:rsidR="00726709">
        <w:rPr>
          <w:rFonts w:ascii="Calibri" w:hAnsi="Calibri"/>
          <w:bCs/>
          <w:sz w:val="24"/>
          <w:szCs w:val="24"/>
        </w:rPr>
        <w:t xml:space="preserve">, a lo que se agrega su uso para nuevas tecnologías como la Inteligencia Artificial. </w:t>
      </w:r>
      <w:r>
        <w:rPr>
          <w:rFonts w:ascii="Calibri" w:hAnsi="Calibri"/>
          <w:bCs/>
          <w:sz w:val="24"/>
          <w:szCs w:val="24"/>
        </w:rPr>
        <w:t>N</w:t>
      </w:r>
      <w:r w:rsidR="00E81991" w:rsidRPr="00E81991">
        <w:rPr>
          <w:rFonts w:ascii="Calibri" w:hAnsi="Calibri"/>
          <w:bCs/>
          <w:sz w:val="24"/>
          <w:szCs w:val="24"/>
        </w:rPr>
        <w:t>uestros proyectos de crecimiento</w:t>
      </w:r>
      <w:r>
        <w:rPr>
          <w:rFonts w:ascii="Calibri" w:hAnsi="Calibri"/>
          <w:bCs/>
          <w:sz w:val="24"/>
          <w:szCs w:val="24"/>
        </w:rPr>
        <w:t xml:space="preserve">, que están avanzando de acuerdo </w:t>
      </w:r>
      <w:r w:rsidR="00184B7E">
        <w:rPr>
          <w:rFonts w:ascii="Calibri" w:hAnsi="Calibri"/>
          <w:bCs/>
          <w:sz w:val="24"/>
          <w:szCs w:val="24"/>
        </w:rPr>
        <w:t>con</w:t>
      </w:r>
      <w:r>
        <w:rPr>
          <w:rFonts w:ascii="Calibri" w:hAnsi="Calibri"/>
          <w:bCs/>
          <w:sz w:val="24"/>
          <w:szCs w:val="24"/>
        </w:rPr>
        <w:t xml:space="preserve"> lo planificado,</w:t>
      </w:r>
      <w:r w:rsidR="00E81991" w:rsidRPr="00E81991">
        <w:rPr>
          <w:rFonts w:ascii="Calibri" w:hAnsi="Calibri"/>
          <w:bCs/>
          <w:sz w:val="24"/>
          <w:szCs w:val="24"/>
        </w:rPr>
        <w:t xml:space="preserve"> </w:t>
      </w:r>
      <w:r w:rsidR="00902009">
        <w:rPr>
          <w:rFonts w:ascii="Calibri" w:hAnsi="Calibri"/>
          <w:bCs/>
          <w:sz w:val="24"/>
          <w:szCs w:val="24"/>
        </w:rPr>
        <w:t>van a poder ofrecer un sumi</w:t>
      </w:r>
      <w:r w:rsidR="00E852A4">
        <w:rPr>
          <w:rFonts w:ascii="Calibri" w:hAnsi="Calibri"/>
          <w:bCs/>
          <w:sz w:val="24"/>
          <w:szCs w:val="24"/>
        </w:rPr>
        <w:t>ni</w:t>
      </w:r>
      <w:r w:rsidR="00902009">
        <w:rPr>
          <w:rFonts w:ascii="Calibri" w:hAnsi="Calibri"/>
          <w:bCs/>
          <w:sz w:val="24"/>
          <w:szCs w:val="24"/>
        </w:rPr>
        <w:t>stro</w:t>
      </w:r>
      <w:r w:rsidR="00E852A4">
        <w:rPr>
          <w:rFonts w:ascii="Calibri" w:hAnsi="Calibri"/>
          <w:bCs/>
          <w:sz w:val="24"/>
          <w:szCs w:val="24"/>
        </w:rPr>
        <w:t xml:space="preserve"> responsable y sustentable </w:t>
      </w:r>
      <w:r w:rsidR="00185EE9">
        <w:rPr>
          <w:rFonts w:ascii="Calibri" w:hAnsi="Calibri"/>
          <w:bCs/>
          <w:sz w:val="24"/>
          <w:szCs w:val="24"/>
        </w:rPr>
        <w:t xml:space="preserve">para esta </w:t>
      </w:r>
      <w:r>
        <w:rPr>
          <w:rFonts w:ascii="Calibri" w:hAnsi="Calibri"/>
          <w:bCs/>
          <w:sz w:val="24"/>
          <w:szCs w:val="24"/>
        </w:rPr>
        <w:t xml:space="preserve">mayor </w:t>
      </w:r>
      <w:r w:rsidR="00185EE9">
        <w:rPr>
          <w:rFonts w:ascii="Calibri" w:hAnsi="Calibri"/>
          <w:bCs/>
          <w:sz w:val="24"/>
          <w:szCs w:val="24"/>
        </w:rPr>
        <w:t>demanda</w:t>
      </w:r>
      <w:r>
        <w:rPr>
          <w:rFonts w:ascii="Calibri" w:hAnsi="Calibri"/>
          <w:bCs/>
          <w:sz w:val="24"/>
          <w:szCs w:val="24"/>
        </w:rPr>
        <w:t>. Nuestro</w:t>
      </w:r>
      <w:r w:rsidR="00184B7E">
        <w:rPr>
          <w:rFonts w:ascii="Calibri" w:hAnsi="Calibri"/>
          <w:bCs/>
          <w:sz w:val="24"/>
          <w:szCs w:val="24"/>
        </w:rPr>
        <w:t xml:space="preserve"> sólido balance financiero nos permite seguir invirtiendo en proyectos rentables de crecimiento en el mediano y largo plazo</w:t>
      </w:r>
      <w:r w:rsidR="008C4428">
        <w:rPr>
          <w:rFonts w:ascii="Calibri" w:hAnsi="Calibri"/>
          <w:bCs/>
          <w:sz w:val="24"/>
          <w:szCs w:val="24"/>
        </w:rPr>
        <w:t>”</w:t>
      </w:r>
      <w:r w:rsidR="00184B7E">
        <w:rPr>
          <w:rFonts w:ascii="Calibri" w:hAnsi="Calibri"/>
          <w:bCs/>
          <w:sz w:val="24"/>
          <w:szCs w:val="24"/>
        </w:rPr>
        <w:t>, aseguró.</w:t>
      </w:r>
    </w:p>
    <w:p w14:paraId="7E1A25CC" w14:textId="7C24EB2F" w:rsidR="00D254D9" w:rsidRPr="00814F5A" w:rsidRDefault="00184B7E" w:rsidP="00D254D9">
      <w:pPr>
        <w:spacing w:after="120"/>
        <w:jc w:val="both"/>
        <w:rPr>
          <w:rFonts w:ascii="Calibri" w:hAnsi="Calibri"/>
          <w:bCs/>
          <w:sz w:val="24"/>
          <w:szCs w:val="24"/>
        </w:rPr>
      </w:pPr>
      <w:r>
        <w:rPr>
          <w:sz w:val="24"/>
          <w:szCs w:val="24"/>
        </w:rPr>
        <w:t xml:space="preserve">En este sentido, </w:t>
      </w:r>
      <w:r w:rsidR="00D254D9">
        <w:rPr>
          <w:sz w:val="24"/>
          <w:szCs w:val="24"/>
        </w:rPr>
        <w:t xml:space="preserve">indicó que </w:t>
      </w:r>
      <w:r w:rsidR="00D254D9" w:rsidRPr="00D254D9">
        <w:rPr>
          <w:sz w:val="24"/>
          <w:szCs w:val="24"/>
        </w:rPr>
        <w:t>“</w:t>
      </w:r>
      <w:r w:rsidR="00803E02" w:rsidRPr="00682876">
        <w:rPr>
          <w:rFonts w:ascii="Calibri" w:hAnsi="Calibri"/>
          <w:bCs/>
          <w:sz w:val="24"/>
          <w:szCs w:val="24"/>
        </w:rPr>
        <w:t>las perspectivas para el cobre</w:t>
      </w:r>
      <w:r w:rsidR="00726709">
        <w:rPr>
          <w:rFonts w:ascii="Calibri" w:hAnsi="Calibri"/>
          <w:bCs/>
          <w:sz w:val="24"/>
          <w:szCs w:val="24"/>
        </w:rPr>
        <w:t xml:space="preserve"> siguen siendo solidas. La </w:t>
      </w:r>
      <w:r w:rsidR="00803E02" w:rsidRPr="00682876">
        <w:rPr>
          <w:rFonts w:ascii="Calibri" w:hAnsi="Calibri"/>
          <w:bCs/>
          <w:sz w:val="24"/>
          <w:szCs w:val="24"/>
        </w:rPr>
        <w:t>demanda sigue creciendo</w:t>
      </w:r>
      <w:r w:rsidR="00726709">
        <w:rPr>
          <w:rFonts w:ascii="Calibri" w:hAnsi="Calibri"/>
          <w:bCs/>
          <w:sz w:val="24"/>
          <w:szCs w:val="24"/>
        </w:rPr>
        <w:t xml:space="preserve"> y al </w:t>
      </w:r>
      <w:r>
        <w:rPr>
          <w:rFonts w:ascii="Calibri" w:hAnsi="Calibri"/>
          <w:bCs/>
          <w:sz w:val="24"/>
          <w:szCs w:val="24"/>
        </w:rPr>
        <w:t xml:space="preserve">mismo tiempo, se ven restricciones para un aumento en la oferta, </w:t>
      </w:r>
      <w:r w:rsidR="00803E02" w:rsidRPr="00682876">
        <w:rPr>
          <w:rFonts w:ascii="Calibri" w:hAnsi="Calibri"/>
          <w:bCs/>
          <w:sz w:val="24"/>
          <w:szCs w:val="24"/>
        </w:rPr>
        <w:t xml:space="preserve">como el descenso </w:t>
      </w:r>
      <w:r>
        <w:rPr>
          <w:rFonts w:ascii="Calibri" w:hAnsi="Calibri"/>
          <w:bCs/>
          <w:sz w:val="24"/>
          <w:szCs w:val="24"/>
        </w:rPr>
        <w:t>en</w:t>
      </w:r>
      <w:r w:rsidR="00803E02" w:rsidRPr="00682876">
        <w:rPr>
          <w:rFonts w:ascii="Calibri" w:hAnsi="Calibri"/>
          <w:bCs/>
          <w:sz w:val="24"/>
          <w:szCs w:val="24"/>
        </w:rPr>
        <w:t xml:space="preserve"> la</w:t>
      </w:r>
      <w:r>
        <w:rPr>
          <w:rFonts w:ascii="Calibri" w:hAnsi="Calibri"/>
          <w:bCs/>
          <w:sz w:val="24"/>
          <w:szCs w:val="24"/>
        </w:rPr>
        <w:t>s</w:t>
      </w:r>
      <w:r w:rsidR="00803E02" w:rsidRPr="00682876">
        <w:rPr>
          <w:rFonts w:ascii="Calibri" w:hAnsi="Calibri"/>
          <w:bCs/>
          <w:sz w:val="24"/>
          <w:szCs w:val="24"/>
        </w:rPr>
        <w:t xml:space="preserve"> ley</w:t>
      </w:r>
      <w:r>
        <w:rPr>
          <w:rFonts w:ascii="Calibri" w:hAnsi="Calibri"/>
          <w:bCs/>
          <w:sz w:val="24"/>
          <w:szCs w:val="24"/>
        </w:rPr>
        <w:t>es y</w:t>
      </w:r>
      <w:r w:rsidR="00803E02" w:rsidRPr="00682876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una mayor </w:t>
      </w:r>
      <w:r w:rsidR="00803E02" w:rsidRPr="00682876">
        <w:rPr>
          <w:rFonts w:ascii="Calibri" w:hAnsi="Calibri"/>
          <w:bCs/>
          <w:sz w:val="24"/>
          <w:szCs w:val="24"/>
        </w:rPr>
        <w:t xml:space="preserve">dureza de </w:t>
      </w:r>
      <w:r>
        <w:rPr>
          <w:rFonts w:ascii="Calibri" w:hAnsi="Calibri"/>
          <w:bCs/>
          <w:sz w:val="24"/>
          <w:szCs w:val="24"/>
        </w:rPr>
        <w:t xml:space="preserve">los </w:t>
      </w:r>
      <w:r w:rsidR="00803E02" w:rsidRPr="00682876">
        <w:rPr>
          <w:rFonts w:ascii="Calibri" w:hAnsi="Calibri"/>
          <w:bCs/>
          <w:sz w:val="24"/>
          <w:szCs w:val="24"/>
        </w:rPr>
        <w:t>mineral</w:t>
      </w:r>
      <w:r>
        <w:rPr>
          <w:rFonts w:ascii="Calibri" w:hAnsi="Calibri"/>
          <w:bCs/>
          <w:sz w:val="24"/>
          <w:szCs w:val="24"/>
        </w:rPr>
        <w:t>es, además</w:t>
      </w:r>
      <w:r w:rsidR="009B16FC">
        <w:rPr>
          <w:rFonts w:ascii="Calibri" w:hAnsi="Calibri"/>
          <w:bCs/>
          <w:sz w:val="24"/>
          <w:szCs w:val="24"/>
        </w:rPr>
        <w:t xml:space="preserve"> de</w:t>
      </w:r>
      <w:r w:rsidR="00803E02" w:rsidRPr="00682876">
        <w:rPr>
          <w:rFonts w:ascii="Calibri" w:hAnsi="Calibri"/>
          <w:bCs/>
          <w:sz w:val="24"/>
          <w:szCs w:val="24"/>
        </w:rPr>
        <w:t xml:space="preserve"> </w:t>
      </w:r>
      <w:r w:rsidR="001A16F3">
        <w:rPr>
          <w:rFonts w:ascii="Calibri" w:hAnsi="Calibri"/>
          <w:bCs/>
          <w:sz w:val="24"/>
          <w:szCs w:val="24"/>
        </w:rPr>
        <w:t>las crecientes</w:t>
      </w:r>
      <w:r w:rsidR="008C4428">
        <w:rPr>
          <w:rFonts w:ascii="Calibri" w:hAnsi="Calibri"/>
          <w:bCs/>
          <w:sz w:val="24"/>
          <w:szCs w:val="24"/>
        </w:rPr>
        <w:t xml:space="preserve"> inversiones</w:t>
      </w:r>
      <w:r w:rsidR="001A16F3">
        <w:rPr>
          <w:rFonts w:ascii="Calibri" w:hAnsi="Calibri"/>
          <w:bCs/>
          <w:sz w:val="24"/>
          <w:szCs w:val="24"/>
        </w:rPr>
        <w:t xml:space="preserve"> requeridas</w:t>
      </w:r>
      <w:r w:rsidR="008C4428">
        <w:rPr>
          <w:rFonts w:ascii="Calibri" w:hAnsi="Calibri"/>
          <w:bCs/>
          <w:sz w:val="24"/>
          <w:szCs w:val="24"/>
        </w:rPr>
        <w:t>”</w:t>
      </w:r>
      <w:r>
        <w:rPr>
          <w:rFonts w:ascii="Calibri" w:hAnsi="Calibri"/>
          <w:bCs/>
          <w:sz w:val="24"/>
          <w:szCs w:val="24"/>
        </w:rPr>
        <w:t>.</w:t>
      </w:r>
    </w:p>
    <w:p w14:paraId="28CAEEFD" w14:textId="4575198C" w:rsidR="005D2278" w:rsidRDefault="00F754B6" w:rsidP="0099345F">
      <w:pPr>
        <w:spacing w:after="120"/>
        <w:jc w:val="both"/>
        <w:rPr>
          <w:iCs/>
          <w:sz w:val="24"/>
          <w:szCs w:val="24"/>
          <w:lang w:val="es"/>
        </w:rPr>
      </w:pPr>
      <w:r>
        <w:rPr>
          <w:iCs/>
          <w:sz w:val="24"/>
          <w:szCs w:val="24"/>
          <w:lang w:val="es"/>
        </w:rPr>
        <w:t>Durante</w:t>
      </w:r>
      <w:r w:rsidR="00D96035">
        <w:rPr>
          <w:iCs/>
          <w:sz w:val="24"/>
          <w:szCs w:val="24"/>
          <w:lang w:val="es"/>
        </w:rPr>
        <w:t xml:space="preserve"> </w:t>
      </w:r>
      <w:r w:rsidR="009C3749">
        <w:rPr>
          <w:iCs/>
          <w:sz w:val="24"/>
          <w:szCs w:val="24"/>
          <w:lang w:val="es"/>
        </w:rPr>
        <w:t>la</w:t>
      </w:r>
      <w:r w:rsidR="00D96035">
        <w:rPr>
          <w:iCs/>
          <w:sz w:val="24"/>
          <w:szCs w:val="24"/>
          <w:lang w:val="es"/>
        </w:rPr>
        <w:t xml:space="preserve"> entrega de resultados financieros, Antofagasta plc ratificó que </w:t>
      </w:r>
      <w:r w:rsidR="00EB7F43">
        <w:rPr>
          <w:iCs/>
          <w:sz w:val="24"/>
          <w:szCs w:val="24"/>
          <w:lang w:val="es"/>
        </w:rPr>
        <w:t xml:space="preserve">para </w:t>
      </w:r>
      <w:r w:rsidR="008A75DB">
        <w:rPr>
          <w:iCs/>
          <w:sz w:val="24"/>
          <w:szCs w:val="24"/>
          <w:lang w:val="es"/>
        </w:rPr>
        <w:t>el</w:t>
      </w:r>
      <w:r w:rsidR="00E0717C">
        <w:rPr>
          <w:iCs/>
          <w:sz w:val="24"/>
          <w:szCs w:val="24"/>
          <w:lang w:val="es"/>
        </w:rPr>
        <w:t xml:space="preserve"> 202</w:t>
      </w:r>
      <w:r w:rsidR="008A75DB">
        <w:rPr>
          <w:iCs/>
          <w:sz w:val="24"/>
          <w:szCs w:val="24"/>
          <w:lang w:val="es"/>
        </w:rPr>
        <w:t>5</w:t>
      </w:r>
      <w:r w:rsidR="00EB7F43">
        <w:rPr>
          <w:iCs/>
          <w:sz w:val="24"/>
          <w:szCs w:val="24"/>
          <w:lang w:val="es"/>
        </w:rPr>
        <w:t xml:space="preserve"> </w:t>
      </w:r>
      <w:r w:rsidR="0099345F">
        <w:rPr>
          <w:iCs/>
          <w:sz w:val="24"/>
          <w:szCs w:val="24"/>
          <w:lang w:val="es"/>
        </w:rPr>
        <w:t>proyect</w:t>
      </w:r>
      <w:r>
        <w:rPr>
          <w:iCs/>
          <w:sz w:val="24"/>
          <w:szCs w:val="24"/>
          <w:lang w:val="es"/>
        </w:rPr>
        <w:t>a</w:t>
      </w:r>
      <w:r w:rsidR="00D96035">
        <w:rPr>
          <w:iCs/>
          <w:sz w:val="24"/>
          <w:szCs w:val="24"/>
          <w:lang w:val="es"/>
        </w:rPr>
        <w:t xml:space="preserve"> </w:t>
      </w:r>
      <w:r w:rsidR="0099345F">
        <w:rPr>
          <w:iCs/>
          <w:sz w:val="24"/>
          <w:szCs w:val="24"/>
          <w:lang w:val="es"/>
        </w:rPr>
        <w:t>una producción de</w:t>
      </w:r>
      <w:r w:rsidR="00D96035">
        <w:rPr>
          <w:iCs/>
          <w:sz w:val="24"/>
          <w:szCs w:val="24"/>
          <w:lang w:val="es"/>
        </w:rPr>
        <w:t xml:space="preserve"> entre </w:t>
      </w:r>
      <w:r w:rsidR="00045A5A">
        <w:rPr>
          <w:iCs/>
          <w:sz w:val="24"/>
          <w:szCs w:val="24"/>
          <w:lang w:val="es"/>
        </w:rPr>
        <w:t>6</w:t>
      </w:r>
      <w:r w:rsidR="008A75DB">
        <w:rPr>
          <w:iCs/>
          <w:sz w:val="24"/>
          <w:szCs w:val="24"/>
          <w:lang w:val="es"/>
        </w:rPr>
        <w:t>6</w:t>
      </w:r>
      <w:r w:rsidR="00045A5A">
        <w:rPr>
          <w:iCs/>
          <w:sz w:val="24"/>
          <w:szCs w:val="24"/>
          <w:lang w:val="es"/>
        </w:rPr>
        <w:t>0</w:t>
      </w:r>
      <w:r w:rsidR="00016E1B">
        <w:rPr>
          <w:iCs/>
          <w:sz w:val="24"/>
          <w:szCs w:val="24"/>
          <w:lang w:val="es"/>
        </w:rPr>
        <w:t>.000</w:t>
      </w:r>
      <w:r w:rsidR="00045A5A">
        <w:rPr>
          <w:iCs/>
          <w:sz w:val="24"/>
          <w:szCs w:val="24"/>
          <w:lang w:val="es"/>
        </w:rPr>
        <w:t xml:space="preserve"> y 7</w:t>
      </w:r>
      <w:r w:rsidR="008A75DB">
        <w:rPr>
          <w:iCs/>
          <w:sz w:val="24"/>
          <w:szCs w:val="24"/>
          <w:lang w:val="es"/>
        </w:rPr>
        <w:t>0</w:t>
      </w:r>
      <w:r w:rsidR="00045A5A">
        <w:rPr>
          <w:iCs/>
          <w:sz w:val="24"/>
          <w:szCs w:val="24"/>
          <w:lang w:val="es"/>
        </w:rPr>
        <w:t>0</w:t>
      </w:r>
      <w:r w:rsidR="00016E1B">
        <w:rPr>
          <w:iCs/>
          <w:sz w:val="24"/>
          <w:szCs w:val="24"/>
          <w:lang w:val="es"/>
        </w:rPr>
        <w:t>.000</w:t>
      </w:r>
      <w:r w:rsidR="00045A5A">
        <w:rPr>
          <w:iCs/>
          <w:sz w:val="24"/>
          <w:szCs w:val="24"/>
          <w:lang w:val="es"/>
        </w:rPr>
        <w:t xml:space="preserve"> </w:t>
      </w:r>
      <w:r w:rsidR="00967F8A">
        <w:rPr>
          <w:iCs/>
          <w:sz w:val="24"/>
          <w:szCs w:val="24"/>
          <w:lang w:val="es"/>
        </w:rPr>
        <w:t>toneladas de cobre</w:t>
      </w:r>
      <w:r w:rsidR="0099345F">
        <w:rPr>
          <w:iCs/>
          <w:sz w:val="24"/>
          <w:szCs w:val="24"/>
          <w:lang w:val="es"/>
        </w:rPr>
        <w:t xml:space="preserve"> fino</w:t>
      </w:r>
      <w:r w:rsidR="00016E1B">
        <w:rPr>
          <w:iCs/>
          <w:sz w:val="24"/>
          <w:szCs w:val="24"/>
          <w:lang w:val="es"/>
        </w:rPr>
        <w:t>,</w:t>
      </w:r>
      <w:r w:rsidR="00967F8A">
        <w:rPr>
          <w:iCs/>
          <w:sz w:val="24"/>
          <w:szCs w:val="24"/>
          <w:lang w:val="es"/>
        </w:rPr>
        <w:t xml:space="preserve"> entre </w:t>
      </w:r>
      <w:r w:rsidR="007879D3">
        <w:rPr>
          <w:iCs/>
          <w:sz w:val="24"/>
          <w:szCs w:val="24"/>
          <w:lang w:val="es"/>
        </w:rPr>
        <w:t>210</w:t>
      </w:r>
      <w:r w:rsidR="00016E1B">
        <w:rPr>
          <w:iCs/>
          <w:sz w:val="24"/>
          <w:szCs w:val="24"/>
          <w:lang w:val="es"/>
        </w:rPr>
        <w:t>.000</w:t>
      </w:r>
      <w:r w:rsidR="00967F8A">
        <w:rPr>
          <w:iCs/>
          <w:sz w:val="24"/>
          <w:szCs w:val="24"/>
          <w:lang w:val="es"/>
        </w:rPr>
        <w:t xml:space="preserve"> y 2</w:t>
      </w:r>
      <w:r w:rsidR="007879D3">
        <w:rPr>
          <w:iCs/>
          <w:sz w:val="24"/>
          <w:szCs w:val="24"/>
          <w:lang w:val="es"/>
        </w:rPr>
        <w:t>30</w:t>
      </w:r>
      <w:r w:rsidR="00016E1B">
        <w:rPr>
          <w:iCs/>
          <w:sz w:val="24"/>
          <w:szCs w:val="24"/>
          <w:lang w:val="es"/>
        </w:rPr>
        <w:t>.000</w:t>
      </w:r>
      <w:r w:rsidR="00967F8A">
        <w:rPr>
          <w:iCs/>
          <w:sz w:val="24"/>
          <w:szCs w:val="24"/>
          <w:lang w:val="es"/>
        </w:rPr>
        <w:t xml:space="preserve"> onzas de oro</w:t>
      </w:r>
      <w:r w:rsidR="00552A72">
        <w:rPr>
          <w:iCs/>
          <w:sz w:val="24"/>
          <w:szCs w:val="24"/>
          <w:lang w:val="es"/>
        </w:rPr>
        <w:t>,</w:t>
      </w:r>
      <w:r w:rsidR="00967F8A">
        <w:rPr>
          <w:iCs/>
          <w:sz w:val="24"/>
          <w:szCs w:val="24"/>
          <w:lang w:val="es"/>
        </w:rPr>
        <w:t xml:space="preserve"> y entr</w:t>
      </w:r>
      <w:r w:rsidR="001A7BA0">
        <w:rPr>
          <w:iCs/>
          <w:sz w:val="24"/>
          <w:szCs w:val="24"/>
          <w:lang w:val="es"/>
        </w:rPr>
        <w:t>e</w:t>
      </w:r>
      <w:r w:rsidR="00967F8A">
        <w:rPr>
          <w:iCs/>
          <w:sz w:val="24"/>
          <w:szCs w:val="24"/>
          <w:lang w:val="es"/>
        </w:rPr>
        <w:t xml:space="preserve"> 1</w:t>
      </w:r>
      <w:r w:rsidR="00473F5A">
        <w:rPr>
          <w:iCs/>
          <w:sz w:val="24"/>
          <w:szCs w:val="24"/>
          <w:lang w:val="es"/>
        </w:rPr>
        <w:t>5</w:t>
      </w:r>
      <w:r w:rsidR="00016E1B">
        <w:rPr>
          <w:iCs/>
          <w:sz w:val="24"/>
          <w:szCs w:val="24"/>
          <w:lang w:val="es"/>
        </w:rPr>
        <w:t>.0</w:t>
      </w:r>
      <w:r w:rsidR="00552A72">
        <w:rPr>
          <w:iCs/>
          <w:sz w:val="24"/>
          <w:szCs w:val="24"/>
          <w:lang w:val="es"/>
        </w:rPr>
        <w:t>00</w:t>
      </w:r>
      <w:r w:rsidR="00967F8A">
        <w:rPr>
          <w:iCs/>
          <w:sz w:val="24"/>
          <w:szCs w:val="24"/>
          <w:lang w:val="es"/>
        </w:rPr>
        <w:t xml:space="preserve"> y 1</w:t>
      </w:r>
      <w:r w:rsidR="00473F5A">
        <w:rPr>
          <w:iCs/>
          <w:sz w:val="24"/>
          <w:szCs w:val="24"/>
          <w:lang w:val="es"/>
        </w:rPr>
        <w:t>6</w:t>
      </w:r>
      <w:r w:rsidR="00967F8A">
        <w:rPr>
          <w:iCs/>
          <w:sz w:val="24"/>
          <w:szCs w:val="24"/>
          <w:lang w:val="es"/>
        </w:rPr>
        <w:t>.500 tone</w:t>
      </w:r>
      <w:r w:rsidR="00552A72">
        <w:rPr>
          <w:iCs/>
          <w:sz w:val="24"/>
          <w:szCs w:val="24"/>
          <w:lang w:val="es"/>
        </w:rPr>
        <w:t>ladas de molibdeno</w:t>
      </w:r>
      <w:r w:rsidR="001A7BA0">
        <w:rPr>
          <w:iCs/>
          <w:sz w:val="24"/>
          <w:szCs w:val="24"/>
          <w:lang w:val="es"/>
        </w:rPr>
        <w:t xml:space="preserve">. </w:t>
      </w:r>
      <w:r w:rsidR="00552A72">
        <w:rPr>
          <w:iCs/>
          <w:sz w:val="24"/>
          <w:szCs w:val="24"/>
          <w:lang w:val="es"/>
        </w:rPr>
        <w:t xml:space="preserve"> </w:t>
      </w:r>
      <w:r w:rsidR="005D2278">
        <w:rPr>
          <w:iCs/>
          <w:sz w:val="24"/>
          <w:szCs w:val="24"/>
          <w:lang w:val="es"/>
        </w:rPr>
        <w:t xml:space="preserve"> </w:t>
      </w:r>
    </w:p>
    <w:p w14:paraId="50FD0DDF" w14:textId="12D04FD5" w:rsidR="005D2278" w:rsidRDefault="00531062" w:rsidP="004110ED">
      <w:pPr>
        <w:spacing w:after="120"/>
        <w:jc w:val="both"/>
        <w:rPr>
          <w:iCs/>
          <w:sz w:val="24"/>
          <w:szCs w:val="24"/>
          <w:lang w:val="es"/>
        </w:rPr>
      </w:pPr>
      <w:r>
        <w:rPr>
          <w:iCs/>
          <w:sz w:val="24"/>
          <w:szCs w:val="24"/>
          <w:lang w:val="es"/>
        </w:rPr>
        <w:t xml:space="preserve">Por último, el </w:t>
      </w:r>
      <w:r w:rsidR="0099345F">
        <w:rPr>
          <w:iCs/>
          <w:sz w:val="24"/>
          <w:szCs w:val="24"/>
          <w:lang w:val="es"/>
        </w:rPr>
        <w:t>ejecutivo</w:t>
      </w:r>
      <w:r>
        <w:rPr>
          <w:iCs/>
          <w:sz w:val="24"/>
          <w:szCs w:val="24"/>
          <w:lang w:val="es"/>
        </w:rPr>
        <w:t xml:space="preserve"> informó que </w:t>
      </w:r>
      <w:r w:rsidR="0099345F">
        <w:rPr>
          <w:iCs/>
          <w:sz w:val="24"/>
          <w:szCs w:val="24"/>
          <w:lang w:val="es"/>
        </w:rPr>
        <w:t xml:space="preserve">el Grupo </w:t>
      </w:r>
      <w:r>
        <w:rPr>
          <w:iCs/>
          <w:sz w:val="24"/>
          <w:szCs w:val="24"/>
          <w:lang w:val="es"/>
        </w:rPr>
        <w:t>espera invertir US$</w:t>
      </w:r>
      <w:r w:rsidR="00DB6A5C">
        <w:rPr>
          <w:iCs/>
          <w:sz w:val="24"/>
          <w:szCs w:val="24"/>
          <w:lang w:val="es"/>
        </w:rPr>
        <w:t>3</w:t>
      </w:r>
      <w:r>
        <w:rPr>
          <w:iCs/>
          <w:sz w:val="24"/>
          <w:szCs w:val="24"/>
          <w:lang w:val="es"/>
        </w:rPr>
        <w:t>.</w:t>
      </w:r>
      <w:r w:rsidR="00DB6A5C">
        <w:rPr>
          <w:iCs/>
          <w:sz w:val="24"/>
          <w:szCs w:val="24"/>
          <w:lang w:val="es"/>
        </w:rPr>
        <w:t>9</w:t>
      </w:r>
      <w:r w:rsidR="00EB7F43">
        <w:rPr>
          <w:iCs/>
          <w:sz w:val="24"/>
          <w:szCs w:val="24"/>
          <w:lang w:val="es"/>
        </w:rPr>
        <w:t>00</w:t>
      </w:r>
      <w:r>
        <w:rPr>
          <w:iCs/>
          <w:sz w:val="24"/>
          <w:szCs w:val="24"/>
          <w:lang w:val="es"/>
        </w:rPr>
        <w:t xml:space="preserve"> millones</w:t>
      </w:r>
      <w:r w:rsidR="00AF4EEF">
        <w:rPr>
          <w:iCs/>
          <w:sz w:val="24"/>
          <w:szCs w:val="24"/>
          <w:lang w:val="es"/>
        </w:rPr>
        <w:t xml:space="preserve"> este año</w:t>
      </w:r>
      <w:r w:rsidR="009B449D">
        <w:rPr>
          <w:iCs/>
          <w:sz w:val="24"/>
          <w:szCs w:val="24"/>
          <w:lang w:val="es"/>
        </w:rPr>
        <w:t>,</w:t>
      </w:r>
      <w:r>
        <w:rPr>
          <w:iCs/>
          <w:sz w:val="24"/>
          <w:szCs w:val="24"/>
          <w:lang w:val="es"/>
        </w:rPr>
        <w:t xml:space="preserve"> principalmente en </w:t>
      </w:r>
      <w:r w:rsidR="008C1D21">
        <w:rPr>
          <w:iCs/>
          <w:sz w:val="24"/>
          <w:szCs w:val="24"/>
          <w:lang w:val="es"/>
        </w:rPr>
        <w:t xml:space="preserve">la construcción de </w:t>
      </w:r>
      <w:r w:rsidR="0099345F">
        <w:rPr>
          <w:iCs/>
          <w:sz w:val="24"/>
          <w:szCs w:val="24"/>
          <w:lang w:val="es"/>
        </w:rPr>
        <w:t>Nueva Centinela</w:t>
      </w:r>
      <w:r w:rsidR="00EB7F43">
        <w:rPr>
          <w:iCs/>
          <w:sz w:val="24"/>
          <w:szCs w:val="24"/>
          <w:lang w:val="es"/>
        </w:rPr>
        <w:t xml:space="preserve"> y en </w:t>
      </w:r>
      <w:r w:rsidR="008C1D21">
        <w:rPr>
          <w:iCs/>
          <w:sz w:val="24"/>
          <w:szCs w:val="24"/>
          <w:lang w:val="es"/>
        </w:rPr>
        <w:t>los proyectos de expansión</w:t>
      </w:r>
      <w:r w:rsidR="00EB7F43">
        <w:rPr>
          <w:iCs/>
          <w:sz w:val="24"/>
          <w:szCs w:val="24"/>
          <w:lang w:val="es"/>
        </w:rPr>
        <w:t xml:space="preserve"> de Minera Los Pelambres</w:t>
      </w:r>
      <w:r>
        <w:rPr>
          <w:iCs/>
          <w:sz w:val="24"/>
          <w:szCs w:val="24"/>
          <w:lang w:val="es"/>
        </w:rPr>
        <w:t xml:space="preserve">. </w:t>
      </w:r>
    </w:p>
    <w:p w14:paraId="18C36715" w14:textId="1B566287" w:rsidR="001D4319" w:rsidRDefault="001D4319" w:rsidP="000723CF">
      <w:pPr>
        <w:spacing w:before="120" w:after="0"/>
        <w:jc w:val="both"/>
        <w:rPr>
          <w:iCs/>
          <w:sz w:val="24"/>
          <w:szCs w:val="24"/>
          <w:lang w:val="es"/>
        </w:rPr>
      </w:pPr>
    </w:p>
    <w:tbl>
      <w:tblPr>
        <w:tblW w:w="86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91"/>
        <w:gridCol w:w="850"/>
        <w:gridCol w:w="1276"/>
        <w:gridCol w:w="992"/>
        <w:gridCol w:w="1276"/>
      </w:tblGrid>
      <w:tr w:rsidR="009B449D" w14:paraId="7C3D1AD4" w14:textId="77777777" w:rsidTr="00B139EF">
        <w:trPr>
          <w:trHeight w:val="315"/>
        </w:trPr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hideMark/>
          </w:tcPr>
          <w:p w14:paraId="28A831A1" w14:textId="17EEFE5A" w:rsidR="009B449D" w:rsidRDefault="009B449D">
            <w:pPr>
              <w:rPr>
                <w:rFonts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FFFFFF"/>
                <w:sz w:val="20"/>
                <w:szCs w:val="20"/>
                <w:lang w:eastAsia="en-GB"/>
              </w:rPr>
              <w:t>RESULTADOS FINANCIEROS 202</w:t>
            </w:r>
            <w:r w:rsidR="00F3270A">
              <w:rPr>
                <w:rFonts w:cstheme="minorHAnsi"/>
                <w:b/>
                <w:bCs/>
                <w:color w:val="FFFFF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69696"/>
            <w:hideMark/>
          </w:tcPr>
          <w:p w14:paraId="5784BD49" w14:textId="77777777" w:rsidR="009B449D" w:rsidRDefault="009B449D">
            <w:pPr>
              <w:rPr>
                <w:rFonts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69696"/>
            <w:hideMark/>
          </w:tcPr>
          <w:p w14:paraId="1A5E8485" w14:textId="42FB92C2" w:rsidR="009B449D" w:rsidRDefault="009B449D">
            <w:pPr>
              <w:jc w:val="right"/>
              <w:rPr>
                <w:rFonts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FFFFFF"/>
                <w:sz w:val="20"/>
                <w:szCs w:val="20"/>
                <w:lang w:eastAsia="en-GB"/>
              </w:rPr>
              <w:t>202</w:t>
            </w:r>
            <w:r w:rsidR="00F3270A">
              <w:rPr>
                <w:rFonts w:cstheme="minorHAnsi"/>
                <w:b/>
                <w:bCs/>
                <w:color w:val="FFFFF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69696"/>
            <w:hideMark/>
          </w:tcPr>
          <w:p w14:paraId="370EA47B" w14:textId="560073A0" w:rsidR="009B449D" w:rsidRDefault="009B449D">
            <w:pPr>
              <w:jc w:val="right"/>
              <w:rPr>
                <w:rFonts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FFFFFF"/>
                <w:sz w:val="20"/>
                <w:szCs w:val="20"/>
                <w:lang w:eastAsia="en-GB"/>
              </w:rPr>
              <w:t>202</w:t>
            </w:r>
            <w:r w:rsidR="00F3270A">
              <w:rPr>
                <w:rFonts w:cstheme="minorHAnsi"/>
                <w:b/>
                <w:bCs/>
                <w:color w:val="FFFFFF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hideMark/>
          </w:tcPr>
          <w:p w14:paraId="47C8C512" w14:textId="77777777" w:rsidR="009B449D" w:rsidRDefault="009B449D">
            <w:pPr>
              <w:jc w:val="right"/>
              <w:rPr>
                <w:rFonts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FFFFFF"/>
                <w:sz w:val="20"/>
                <w:szCs w:val="20"/>
                <w:lang w:eastAsia="en-GB"/>
              </w:rPr>
              <w:t>%</w:t>
            </w:r>
          </w:p>
        </w:tc>
      </w:tr>
      <w:tr w:rsidR="009B449D" w14:paraId="2C4D3178" w14:textId="77777777" w:rsidTr="00B139EF">
        <w:trPr>
          <w:trHeight w:val="214"/>
        </w:trPr>
        <w:tc>
          <w:tcPr>
            <w:tcW w:w="429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F3B284E" w14:textId="77777777" w:rsidR="009B449D" w:rsidRDefault="009B449D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 xml:space="preserve">Ingresos </w:t>
            </w:r>
          </w:p>
        </w:tc>
        <w:tc>
          <w:tcPr>
            <w:tcW w:w="850" w:type="dxa"/>
            <w:shd w:val="clear" w:color="auto" w:fill="FFFFFF"/>
            <w:hideMark/>
          </w:tcPr>
          <w:p w14:paraId="2B862AC1" w14:textId="77777777" w:rsidR="009B449D" w:rsidRDefault="009B449D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US$m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5522EF9A" w14:textId="08A33607" w:rsidR="009B449D" w:rsidRDefault="00A76C67">
            <w:pPr>
              <w:jc w:val="right"/>
              <w:rPr>
                <w:rFonts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="009B44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F3270A">
              <w:rPr>
                <w:rFonts w:cstheme="minorHAnsi"/>
                <w:color w:val="000000"/>
                <w:sz w:val="20"/>
                <w:szCs w:val="20"/>
              </w:rPr>
              <w:t>613</w:t>
            </w:r>
            <w:r w:rsidR="004E6F1E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57465B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384EB758" w14:textId="7DDC4425" w:rsidR="009B449D" w:rsidRDefault="00F3270A">
            <w:pPr>
              <w:jc w:val="right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="009B449D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324</w:t>
            </w:r>
            <w:r w:rsidR="009B449D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DC80FD" w14:textId="3A0DDB60" w:rsidR="009B449D" w:rsidRDefault="00631728">
            <w:pPr>
              <w:jc w:val="right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+</w:t>
            </w:r>
            <w:r w:rsidR="0057465B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9B449D" w14:paraId="2963804F" w14:textId="77777777" w:rsidTr="00B3254A">
        <w:trPr>
          <w:trHeight w:val="300"/>
        </w:trPr>
        <w:tc>
          <w:tcPr>
            <w:tcW w:w="4291" w:type="dxa"/>
            <w:tcBorders>
              <w:top w:val="nil"/>
              <w:left w:val="single" w:sz="8" w:space="0" w:color="auto"/>
              <w:right w:val="nil"/>
            </w:tcBorders>
            <w:hideMark/>
          </w:tcPr>
          <w:p w14:paraId="286F8DFB" w14:textId="77777777" w:rsidR="009B449D" w:rsidRDefault="009B449D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EBITDA</w:t>
            </w:r>
          </w:p>
        </w:tc>
        <w:tc>
          <w:tcPr>
            <w:tcW w:w="850" w:type="dxa"/>
            <w:shd w:val="clear" w:color="auto" w:fill="FFFFFF"/>
            <w:hideMark/>
          </w:tcPr>
          <w:p w14:paraId="5AA6914D" w14:textId="77777777" w:rsidR="009B449D" w:rsidRDefault="009B449D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US$m</w:t>
            </w:r>
          </w:p>
        </w:tc>
        <w:tc>
          <w:tcPr>
            <w:tcW w:w="1276" w:type="dxa"/>
            <w:shd w:val="clear" w:color="auto" w:fill="C0C0C0"/>
            <w:vAlign w:val="center"/>
            <w:hideMark/>
          </w:tcPr>
          <w:p w14:paraId="43211CE0" w14:textId="18924F2D" w:rsidR="009B449D" w:rsidRDefault="00A76C67">
            <w:pPr>
              <w:jc w:val="right"/>
              <w:rPr>
                <w:rFonts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9B44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631728">
              <w:rPr>
                <w:rFonts w:cstheme="minorHAnsi"/>
                <w:color w:val="000000"/>
                <w:sz w:val="20"/>
                <w:szCs w:val="20"/>
              </w:rPr>
              <w:t>426</w:t>
            </w:r>
            <w:r w:rsidR="009B449D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631728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14:paraId="685D9869" w14:textId="010358E7" w:rsidR="009B449D" w:rsidRDefault="0057465B">
            <w:pPr>
              <w:jc w:val="right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9B449D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087</w:t>
            </w:r>
            <w:r w:rsidR="009B449D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14:paraId="69ACE895" w14:textId="40A5BC0E" w:rsidR="009B449D" w:rsidRDefault="00631728">
            <w:pPr>
              <w:jc w:val="right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+11</w:t>
            </w:r>
          </w:p>
        </w:tc>
      </w:tr>
      <w:tr w:rsidR="009B449D" w14:paraId="496D82BA" w14:textId="77777777" w:rsidTr="004C5EB4">
        <w:trPr>
          <w:trHeight w:val="300"/>
        </w:trPr>
        <w:tc>
          <w:tcPr>
            <w:tcW w:w="429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93E2AEB" w14:textId="77777777" w:rsidR="009B449D" w:rsidRDefault="009B449D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 xml:space="preserve">Flujo de caja de las operaciones </w:t>
            </w:r>
          </w:p>
        </w:tc>
        <w:tc>
          <w:tcPr>
            <w:tcW w:w="850" w:type="dxa"/>
            <w:shd w:val="clear" w:color="auto" w:fill="FFFFFF"/>
            <w:hideMark/>
          </w:tcPr>
          <w:p w14:paraId="11015982" w14:textId="77777777" w:rsidR="009B449D" w:rsidRDefault="009B449D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US$m</w:t>
            </w:r>
          </w:p>
        </w:tc>
        <w:tc>
          <w:tcPr>
            <w:tcW w:w="1276" w:type="dxa"/>
            <w:shd w:val="clear" w:color="auto" w:fill="C0C0C0"/>
            <w:vAlign w:val="center"/>
            <w:hideMark/>
          </w:tcPr>
          <w:p w14:paraId="7BD3856C" w14:textId="025CAB1A" w:rsidR="009B449D" w:rsidRDefault="00A76C67">
            <w:pPr>
              <w:jc w:val="right"/>
              <w:rPr>
                <w:rFonts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9B449D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27</w:t>
            </w:r>
            <w:r w:rsidR="00540951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="009B449D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54095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7CB27F16" w14:textId="505314F7" w:rsidR="009B449D" w:rsidRDefault="00540951">
            <w:pPr>
              <w:jc w:val="right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9B449D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027</w:t>
            </w:r>
            <w:r w:rsidR="009B449D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C25CC3" w14:textId="0E763B7A" w:rsidR="009B449D" w:rsidRDefault="00540951">
            <w:pPr>
              <w:jc w:val="right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+8</w:t>
            </w:r>
          </w:p>
        </w:tc>
      </w:tr>
      <w:tr w:rsidR="00184B7E" w14:paraId="0D350CD2" w14:textId="77777777" w:rsidTr="00184B7E">
        <w:trPr>
          <w:trHeight w:val="300"/>
        </w:trPr>
        <w:tc>
          <w:tcPr>
            <w:tcW w:w="4291" w:type="dxa"/>
            <w:tcBorders>
              <w:top w:val="nil"/>
              <w:left w:val="single" w:sz="8" w:space="0" w:color="auto"/>
              <w:right w:val="nil"/>
            </w:tcBorders>
          </w:tcPr>
          <w:p w14:paraId="0465E354" w14:textId="79AC56F3" w:rsidR="00184B7E" w:rsidRDefault="00184B7E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Utilidad antes de impuestos</w:t>
            </w:r>
          </w:p>
        </w:tc>
        <w:tc>
          <w:tcPr>
            <w:tcW w:w="850" w:type="dxa"/>
            <w:shd w:val="clear" w:color="auto" w:fill="FFFFFF"/>
          </w:tcPr>
          <w:p w14:paraId="53CED093" w14:textId="536EF7AC" w:rsidR="00184B7E" w:rsidRDefault="00184B7E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US$m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4024870C" w14:textId="46AC4D4C" w:rsidR="00184B7E" w:rsidRDefault="00184B7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2071,1</w:t>
            </w:r>
          </w:p>
        </w:tc>
        <w:tc>
          <w:tcPr>
            <w:tcW w:w="992" w:type="dxa"/>
            <w:vAlign w:val="center"/>
          </w:tcPr>
          <w:p w14:paraId="545DA38F" w14:textId="334E17CB" w:rsidR="00184B7E" w:rsidRDefault="00184B7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1965,5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7589ABD" w14:textId="3E98D126" w:rsidR="00184B7E" w:rsidRDefault="00184B7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+5</w:t>
            </w:r>
          </w:p>
        </w:tc>
      </w:tr>
      <w:tr w:rsidR="004C5EB4" w14:paraId="4C4AC41B" w14:textId="77777777" w:rsidTr="00184B7E">
        <w:trPr>
          <w:trHeight w:val="300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FF4967" w14:textId="3DB2BF4B" w:rsidR="004C5EB4" w:rsidRDefault="004C5EB4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Impuestos devengados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45AFFF43" w14:textId="2420AA6B" w:rsidR="004C5EB4" w:rsidRDefault="004C5EB4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US$m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BE07726" w14:textId="3D05CFA8" w:rsidR="004C5EB4" w:rsidRDefault="004C5EB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755</w:t>
            </w:r>
            <w:r w:rsidR="00F40428">
              <w:rPr>
                <w:rFonts w:cstheme="minorHAnsi"/>
                <w:color w:val="000000"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479D0F" w14:textId="533B9844" w:rsidR="004C5EB4" w:rsidRDefault="00F40428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12163" w14:textId="5A6CB6C2" w:rsidR="004C5EB4" w:rsidRDefault="00F40428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+1</w:t>
            </w:r>
            <w:r w:rsidR="00184B7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bookmarkEnd w:id="0"/>
    </w:tbl>
    <w:p w14:paraId="5C0E9CF9" w14:textId="77777777" w:rsidR="001D4319" w:rsidRDefault="001D4319" w:rsidP="000723CF">
      <w:pPr>
        <w:spacing w:before="120" w:after="0"/>
        <w:jc w:val="both"/>
        <w:rPr>
          <w:iCs/>
          <w:sz w:val="24"/>
          <w:szCs w:val="24"/>
          <w:lang w:val="es"/>
        </w:rPr>
      </w:pPr>
    </w:p>
    <w:p w14:paraId="7E6C7290" w14:textId="10A37147" w:rsidR="0099345F" w:rsidRPr="0099345F" w:rsidRDefault="0099345F" w:rsidP="00E1640A">
      <w:pPr>
        <w:spacing w:before="120" w:after="0"/>
        <w:jc w:val="center"/>
        <w:rPr>
          <w:b/>
          <w:bCs/>
          <w:iCs/>
          <w:sz w:val="24"/>
          <w:szCs w:val="24"/>
          <w:lang w:val="en-GB"/>
        </w:rPr>
      </w:pPr>
      <w:r w:rsidRPr="0099345F">
        <w:rPr>
          <w:b/>
          <w:bCs/>
          <w:iCs/>
          <w:sz w:val="24"/>
          <w:szCs w:val="24"/>
          <w:lang w:val="es"/>
        </w:rPr>
        <w:t>GERENCIA DE COMUNICACIONES</w:t>
      </w:r>
    </w:p>
    <w:sectPr w:rsidR="0099345F" w:rsidRPr="0099345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79A13" w14:textId="77777777" w:rsidR="004B56BA" w:rsidRDefault="004B56BA" w:rsidP="00987438">
      <w:pPr>
        <w:spacing w:after="0" w:line="240" w:lineRule="auto"/>
      </w:pPr>
      <w:r>
        <w:separator/>
      </w:r>
    </w:p>
  </w:endnote>
  <w:endnote w:type="continuationSeparator" w:id="0">
    <w:p w14:paraId="0F62AD0A" w14:textId="77777777" w:rsidR="004B56BA" w:rsidRDefault="004B56BA" w:rsidP="0098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6FA4" w14:textId="77777777" w:rsidR="004B56BA" w:rsidRDefault="004B56BA" w:rsidP="00987438">
      <w:pPr>
        <w:spacing w:after="0" w:line="240" w:lineRule="auto"/>
      </w:pPr>
      <w:r>
        <w:separator/>
      </w:r>
    </w:p>
  </w:footnote>
  <w:footnote w:type="continuationSeparator" w:id="0">
    <w:p w14:paraId="5C35190C" w14:textId="77777777" w:rsidR="004B56BA" w:rsidRDefault="004B56BA" w:rsidP="0098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4D07" w14:textId="47DC85A3" w:rsidR="00987438" w:rsidRDefault="00987438">
    <w:pPr>
      <w:pStyle w:val="Encabezado"/>
    </w:pPr>
    <w:r>
      <w:rPr>
        <w:noProof/>
        <w:lang w:eastAsia="es-CL"/>
      </w:rPr>
      <w:drawing>
        <wp:inline distT="0" distB="0" distL="0" distR="0" wp14:anchorId="71FFA0F8" wp14:editId="6C321D6C">
          <wp:extent cx="1764275" cy="717764"/>
          <wp:effectExtent l="0" t="0" r="0" b="0"/>
          <wp:docPr id="4" name="Logo_Hoja carta.png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Hoja carta.png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275" cy="71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7394"/>
    <w:multiLevelType w:val="hybridMultilevel"/>
    <w:tmpl w:val="6E4E05F0"/>
    <w:lvl w:ilvl="0" w:tplc="271A7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AC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8A89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56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C2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E293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2475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AB22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40CD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CB04DD1"/>
    <w:multiLevelType w:val="hybridMultilevel"/>
    <w:tmpl w:val="402A16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0555"/>
    <w:multiLevelType w:val="hybridMultilevel"/>
    <w:tmpl w:val="0D32883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2272C6"/>
    <w:multiLevelType w:val="hybridMultilevel"/>
    <w:tmpl w:val="4240F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77D0"/>
    <w:multiLevelType w:val="multilevel"/>
    <w:tmpl w:val="787E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3299044">
    <w:abstractNumId w:val="1"/>
  </w:num>
  <w:num w:numId="2" w16cid:durableId="622152262">
    <w:abstractNumId w:val="2"/>
  </w:num>
  <w:num w:numId="3" w16cid:durableId="112794648">
    <w:abstractNumId w:val="3"/>
  </w:num>
  <w:num w:numId="4" w16cid:durableId="1905681262">
    <w:abstractNumId w:val="0"/>
  </w:num>
  <w:num w:numId="5" w16cid:durableId="208690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73"/>
    <w:rsid w:val="00004B33"/>
    <w:rsid w:val="00016E1B"/>
    <w:rsid w:val="00023DCD"/>
    <w:rsid w:val="0004504E"/>
    <w:rsid w:val="00045A5A"/>
    <w:rsid w:val="000511F9"/>
    <w:rsid w:val="00062CCE"/>
    <w:rsid w:val="00070176"/>
    <w:rsid w:val="000723CF"/>
    <w:rsid w:val="00087AF0"/>
    <w:rsid w:val="00091E43"/>
    <w:rsid w:val="00093889"/>
    <w:rsid w:val="000A64FE"/>
    <w:rsid w:val="000A68FF"/>
    <w:rsid w:val="000C184B"/>
    <w:rsid w:val="000C5DDF"/>
    <w:rsid w:val="000D61E2"/>
    <w:rsid w:val="000E0202"/>
    <w:rsid w:val="000E7651"/>
    <w:rsid w:val="00101FBE"/>
    <w:rsid w:val="00102E91"/>
    <w:rsid w:val="001141D5"/>
    <w:rsid w:val="00120D3E"/>
    <w:rsid w:val="00154F7C"/>
    <w:rsid w:val="0015504C"/>
    <w:rsid w:val="00160FF5"/>
    <w:rsid w:val="001761E7"/>
    <w:rsid w:val="001776D0"/>
    <w:rsid w:val="00184B7E"/>
    <w:rsid w:val="00185EE9"/>
    <w:rsid w:val="001873DB"/>
    <w:rsid w:val="001A16F3"/>
    <w:rsid w:val="001A7BA0"/>
    <w:rsid w:val="001B2CF9"/>
    <w:rsid w:val="001D4319"/>
    <w:rsid w:val="001F0905"/>
    <w:rsid w:val="001F52E8"/>
    <w:rsid w:val="001F6CD2"/>
    <w:rsid w:val="00206835"/>
    <w:rsid w:val="00221E24"/>
    <w:rsid w:val="00222DA8"/>
    <w:rsid w:val="00224596"/>
    <w:rsid w:val="00244CB1"/>
    <w:rsid w:val="00251C69"/>
    <w:rsid w:val="0025350A"/>
    <w:rsid w:val="00260A06"/>
    <w:rsid w:val="00274F5E"/>
    <w:rsid w:val="00283277"/>
    <w:rsid w:val="00292D4A"/>
    <w:rsid w:val="00293D3E"/>
    <w:rsid w:val="002A60C4"/>
    <w:rsid w:val="002D1C93"/>
    <w:rsid w:val="002E7D17"/>
    <w:rsid w:val="002F69C1"/>
    <w:rsid w:val="0030145C"/>
    <w:rsid w:val="003071F3"/>
    <w:rsid w:val="00337855"/>
    <w:rsid w:val="00342A3C"/>
    <w:rsid w:val="00354ED1"/>
    <w:rsid w:val="00366848"/>
    <w:rsid w:val="00370373"/>
    <w:rsid w:val="0037783D"/>
    <w:rsid w:val="00394714"/>
    <w:rsid w:val="003A5A02"/>
    <w:rsid w:val="003B2C4A"/>
    <w:rsid w:val="003B57D9"/>
    <w:rsid w:val="003D5142"/>
    <w:rsid w:val="003E6249"/>
    <w:rsid w:val="004110ED"/>
    <w:rsid w:val="00411B3F"/>
    <w:rsid w:val="00413D38"/>
    <w:rsid w:val="0042173A"/>
    <w:rsid w:val="00425557"/>
    <w:rsid w:val="00426A08"/>
    <w:rsid w:val="004273FC"/>
    <w:rsid w:val="00435797"/>
    <w:rsid w:val="00441B54"/>
    <w:rsid w:val="00444EF6"/>
    <w:rsid w:val="004517A1"/>
    <w:rsid w:val="00473F5A"/>
    <w:rsid w:val="004751B7"/>
    <w:rsid w:val="004829EE"/>
    <w:rsid w:val="004950A5"/>
    <w:rsid w:val="004A1801"/>
    <w:rsid w:val="004A3000"/>
    <w:rsid w:val="004A349E"/>
    <w:rsid w:val="004B56BA"/>
    <w:rsid w:val="004B589F"/>
    <w:rsid w:val="004C5EB4"/>
    <w:rsid w:val="004C7020"/>
    <w:rsid w:val="004D6857"/>
    <w:rsid w:val="004E6F1E"/>
    <w:rsid w:val="004F1A33"/>
    <w:rsid w:val="00525283"/>
    <w:rsid w:val="00531062"/>
    <w:rsid w:val="00540951"/>
    <w:rsid w:val="005419FA"/>
    <w:rsid w:val="00541AD0"/>
    <w:rsid w:val="00545180"/>
    <w:rsid w:val="00552A72"/>
    <w:rsid w:val="00563998"/>
    <w:rsid w:val="00567074"/>
    <w:rsid w:val="005737F4"/>
    <w:rsid w:val="0057465B"/>
    <w:rsid w:val="00574B2C"/>
    <w:rsid w:val="00583180"/>
    <w:rsid w:val="005861E5"/>
    <w:rsid w:val="005978E8"/>
    <w:rsid w:val="005A008E"/>
    <w:rsid w:val="005A2361"/>
    <w:rsid w:val="005B4779"/>
    <w:rsid w:val="005B50E6"/>
    <w:rsid w:val="005C31DD"/>
    <w:rsid w:val="005C7895"/>
    <w:rsid w:val="005D2278"/>
    <w:rsid w:val="005E5ADB"/>
    <w:rsid w:val="005F48FB"/>
    <w:rsid w:val="00601EC9"/>
    <w:rsid w:val="00631728"/>
    <w:rsid w:val="00634276"/>
    <w:rsid w:val="006379E9"/>
    <w:rsid w:val="00644C12"/>
    <w:rsid w:val="00647372"/>
    <w:rsid w:val="00653FDE"/>
    <w:rsid w:val="00662DB8"/>
    <w:rsid w:val="00680B5D"/>
    <w:rsid w:val="00682876"/>
    <w:rsid w:val="00683723"/>
    <w:rsid w:val="006969AD"/>
    <w:rsid w:val="006A0C35"/>
    <w:rsid w:val="006A2F38"/>
    <w:rsid w:val="006D0333"/>
    <w:rsid w:val="006E018C"/>
    <w:rsid w:val="006E0346"/>
    <w:rsid w:val="006E47F2"/>
    <w:rsid w:val="006F40BD"/>
    <w:rsid w:val="007107D9"/>
    <w:rsid w:val="007138EE"/>
    <w:rsid w:val="00723B10"/>
    <w:rsid w:val="00726709"/>
    <w:rsid w:val="00731948"/>
    <w:rsid w:val="00771935"/>
    <w:rsid w:val="007750C2"/>
    <w:rsid w:val="00780B0F"/>
    <w:rsid w:val="007879D3"/>
    <w:rsid w:val="00787D30"/>
    <w:rsid w:val="007926DA"/>
    <w:rsid w:val="007931EE"/>
    <w:rsid w:val="007943DE"/>
    <w:rsid w:val="007B0375"/>
    <w:rsid w:val="007B0924"/>
    <w:rsid w:val="007C3661"/>
    <w:rsid w:val="007D68A4"/>
    <w:rsid w:val="007D777C"/>
    <w:rsid w:val="007F0EFB"/>
    <w:rsid w:val="007F1ED4"/>
    <w:rsid w:val="007F2AF9"/>
    <w:rsid w:val="00803E02"/>
    <w:rsid w:val="00814F5A"/>
    <w:rsid w:val="008310C2"/>
    <w:rsid w:val="0083395B"/>
    <w:rsid w:val="00841240"/>
    <w:rsid w:val="00841D9F"/>
    <w:rsid w:val="00845232"/>
    <w:rsid w:val="00853032"/>
    <w:rsid w:val="00857EAC"/>
    <w:rsid w:val="00866FF7"/>
    <w:rsid w:val="00875BCE"/>
    <w:rsid w:val="00876203"/>
    <w:rsid w:val="00883904"/>
    <w:rsid w:val="008A3764"/>
    <w:rsid w:val="008A75DB"/>
    <w:rsid w:val="008B1C59"/>
    <w:rsid w:val="008B4219"/>
    <w:rsid w:val="008C1D21"/>
    <w:rsid w:val="008C4428"/>
    <w:rsid w:val="008D0537"/>
    <w:rsid w:val="008D72F4"/>
    <w:rsid w:val="008E0394"/>
    <w:rsid w:val="008E0931"/>
    <w:rsid w:val="008E704E"/>
    <w:rsid w:val="008F2C34"/>
    <w:rsid w:val="00902009"/>
    <w:rsid w:val="00912556"/>
    <w:rsid w:val="00930AE2"/>
    <w:rsid w:val="009555D2"/>
    <w:rsid w:val="009636AB"/>
    <w:rsid w:val="00967F8A"/>
    <w:rsid w:val="00987438"/>
    <w:rsid w:val="0099345F"/>
    <w:rsid w:val="009B16FC"/>
    <w:rsid w:val="009B449D"/>
    <w:rsid w:val="009C3749"/>
    <w:rsid w:val="00A0049E"/>
    <w:rsid w:val="00A0200F"/>
    <w:rsid w:val="00A121C4"/>
    <w:rsid w:val="00A14351"/>
    <w:rsid w:val="00A14D18"/>
    <w:rsid w:val="00A24870"/>
    <w:rsid w:val="00A25363"/>
    <w:rsid w:val="00A27D2E"/>
    <w:rsid w:val="00A31C3E"/>
    <w:rsid w:val="00A36802"/>
    <w:rsid w:val="00A4072B"/>
    <w:rsid w:val="00A46FFE"/>
    <w:rsid w:val="00A76C67"/>
    <w:rsid w:val="00A97E52"/>
    <w:rsid w:val="00AA6CE3"/>
    <w:rsid w:val="00AB1DCB"/>
    <w:rsid w:val="00AC4FA0"/>
    <w:rsid w:val="00AD0A67"/>
    <w:rsid w:val="00AE3E3A"/>
    <w:rsid w:val="00AE3FA3"/>
    <w:rsid w:val="00AE7CAE"/>
    <w:rsid w:val="00AF4EEF"/>
    <w:rsid w:val="00B12CA6"/>
    <w:rsid w:val="00B13618"/>
    <w:rsid w:val="00B139EF"/>
    <w:rsid w:val="00B3254A"/>
    <w:rsid w:val="00B37D23"/>
    <w:rsid w:val="00B5042C"/>
    <w:rsid w:val="00B537CC"/>
    <w:rsid w:val="00B6085C"/>
    <w:rsid w:val="00B61122"/>
    <w:rsid w:val="00B80C1E"/>
    <w:rsid w:val="00B904F0"/>
    <w:rsid w:val="00B90F14"/>
    <w:rsid w:val="00B94A93"/>
    <w:rsid w:val="00B95D71"/>
    <w:rsid w:val="00B97723"/>
    <w:rsid w:val="00BB61F7"/>
    <w:rsid w:val="00BC0DB2"/>
    <w:rsid w:val="00BD192E"/>
    <w:rsid w:val="00BD2A86"/>
    <w:rsid w:val="00BD3F80"/>
    <w:rsid w:val="00BE1194"/>
    <w:rsid w:val="00BE4488"/>
    <w:rsid w:val="00C137D8"/>
    <w:rsid w:val="00C24AC7"/>
    <w:rsid w:val="00C254BB"/>
    <w:rsid w:val="00C65798"/>
    <w:rsid w:val="00C674FD"/>
    <w:rsid w:val="00C86113"/>
    <w:rsid w:val="00C922F3"/>
    <w:rsid w:val="00CB5349"/>
    <w:rsid w:val="00CB7F1F"/>
    <w:rsid w:val="00CD4273"/>
    <w:rsid w:val="00CE7E37"/>
    <w:rsid w:val="00CF5F83"/>
    <w:rsid w:val="00D14D76"/>
    <w:rsid w:val="00D254D9"/>
    <w:rsid w:val="00D26C2B"/>
    <w:rsid w:val="00D30CDB"/>
    <w:rsid w:val="00D606E9"/>
    <w:rsid w:val="00D63418"/>
    <w:rsid w:val="00D679F3"/>
    <w:rsid w:val="00D829EF"/>
    <w:rsid w:val="00D93EBF"/>
    <w:rsid w:val="00D94831"/>
    <w:rsid w:val="00D96035"/>
    <w:rsid w:val="00D96339"/>
    <w:rsid w:val="00DB6A5C"/>
    <w:rsid w:val="00DC5178"/>
    <w:rsid w:val="00DD0008"/>
    <w:rsid w:val="00DD7093"/>
    <w:rsid w:val="00DE075C"/>
    <w:rsid w:val="00DF2E1D"/>
    <w:rsid w:val="00DF32D6"/>
    <w:rsid w:val="00E0717C"/>
    <w:rsid w:val="00E1640A"/>
    <w:rsid w:val="00E241C2"/>
    <w:rsid w:val="00E342CE"/>
    <w:rsid w:val="00E52881"/>
    <w:rsid w:val="00E64EEE"/>
    <w:rsid w:val="00E805CA"/>
    <w:rsid w:val="00E81991"/>
    <w:rsid w:val="00E852A4"/>
    <w:rsid w:val="00E8585D"/>
    <w:rsid w:val="00E9069E"/>
    <w:rsid w:val="00E91BA6"/>
    <w:rsid w:val="00E92142"/>
    <w:rsid w:val="00E951F2"/>
    <w:rsid w:val="00E964BA"/>
    <w:rsid w:val="00EA052F"/>
    <w:rsid w:val="00EB7F43"/>
    <w:rsid w:val="00EC5AEF"/>
    <w:rsid w:val="00EC650F"/>
    <w:rsid w:val="00ED1BF0"/>
    <w:rsid w:val="00ED5A3F"/>
    <w:rsid w:val="00ED702F"/>
    <w:rsid w:val="00EE4807"/>
    <w:rsid w:val="00EF6E80"/>
    <w:rsid w:val="00F135F9"/>
    <w:rsid w:val="00F137A9"/>
    <w:rsid w:val="00F3148A"/>
    <w:rsid w:val="00F3270A"/>
    <w:rsid w:val="00F329E5"/>
    <w:rsid w:val="00F37157"/>
    <w:rsid w:val="00F40428"/>
    <w:rsid w:val="00F41E99"/>
    <w:rsid w:val="00F64E77"/>
    <w:rsid w:val="00F6778D"/>
    <w:rsid w:val="00F75300"/>
    <w:rsid w:val="00F754B6"/>
    <w:rsid w:val="00F85B54"/>
    <w:rsid w:val="00FC4EE1"/>
    <w:rsid w:val="00FF0099"/>
    <w:rsid w:val="00FF3466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2FF1"/>
  <w15:chartTrackingRefBased/>
  <w15:docId w15:val="{7B3FA45B-359E-4AAD-92E7-EFFF8E5D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4273"/>
    <w:pPr>
      <w:ind w:left="720"/>
      <w:contextualSpacing/>
    </w:pPr>
  </w:style>
  <w:style w:type="character" w:customStyle="1" w:styleId="ts-alignment-element">
    <w:name w:val="ts-alignment-element"/>
    <w:basedOn w:val="Fuentedeprrafopredeter"/>
    <w:rsid w:val="009636AB"/>
  </w:style>
  <w:style w:type="character" w:customStyle="1" w:styleId="ts-alignment-element-highlighted">
    <w:name w:val="ts-alignment-element-highlighted"/>
    <w:basedOn w:val="Fuentedeprrafopredeter"/>
    <w:rsid w:val="009636AB"/>
  </w:style>
  <w:style w:type="paragraph" w:styleId="Revisin">
    <w:name w:val="Revision"/>
    <w:hidden/>
    <w:uiPriority w:val="99"/>
    <w:semiHidden/>
    <w:rsid w:val="001F6CD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87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438"/>
  </w:style>
  <w:style w:type="paragraph" w:styleId="Piedepgina">
    <w:name w:val="footer"/>
    <w:basedOn w:val="Normal"/>
    <w:link w:val="PiedepginaCar"/>
    <w:uiPriority w:val="99"/>
    <w:unhideWhenUsed/>
    <w:rsid w:val="00987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438"/>
  </w:style>
  <w:style w:type="character" w:styleId="Refdenotaalpie">
    <w:name w:val="footnote reference"/>
    <w:rsid w:val="00AC4FA0"/>
    <w:rPr>
      <w:position w:val="6"/>
      <w:sz w:val="16"/>
    </w:rPr>
  </w:style>
  <w:style w:type="paragraph" w:styleId="Textonotapie">
    <w:name w:val="footnote text"/>
    <w:basedOn w:val="Normal"/>
    <w:link w:val="TextonotapieCar"/>
    <w:unhideWhenUsed/>
    <w:rsid w:val="00AC4FA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xtonotapieCar">
    <w:name w:val="Texto nota pie Car"/>
    <w:basedOn w:val="Fuentedeprrafopredeter"/>
    <w:link w:val="Textonotapie"/>
    <w:rsid w:val="00AC4FA0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efault">
    <w:name w:val="Default"/>
    <w:rsid w:val="00AC4FA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  <w:style w:type="character" w:styleId="Refdecomentario">
    <w:name w:val="annotation reference"/>
    <w:rsid w:val="00F3148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3148A"/>
    <w:pPr>
      <w:spacing w:after="0" w:line="240" w:lineRule="auto"/>
    </w:pPr>
    <w:rPr>
      <w:rFonts w:ascii="Arial" w:eastAsia="Arial" w:hAnsi="Arial" w:cs="Arial"/>
      <w:sz w:val="20"/>
      <w:szCs w:val="24"/>
      <w:lang w:val="en-GB"/>
    </w:rPr>
  </w:style>
  <w:style w:type="character" w:customStyle="1" w:styleId="TextocomentarioCar">
    <w:name w:val="Texto comentario Car"/>
    <w:basedOn w:val="Fuentedeprrafopredeter"/>
    <w:link w:val="Textocomentario"/>
    <w:rsid w:val="00F3148A"/>
    <w:rPr>
      <w:rFonts w:ascii="Arial" w:eastAsia="Arial" w:hAnsi="Arial" w:cs="Arial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4CA2-901B-45AA-A316-D517C0B7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Orozco Bass</dc:creator>
  <cp:keywords/>
  <dc:description/>
  <cp:lastModifiedBy>Carolina Pica</cp:lastModifiedBy>
  <cp:revision>7</cp:revision>
  <cp:lastPrinted>2023-02-21T11:01:00Z</cp:lastPrinted>
  <dcterms:created xsi:type="dcterms:W3CDTF">2025-02-17T20:35:00Z</dcterms:created>
  <dcterms:modified xsi:type="dcterms:W3CDTF">2025-02-17T20:38:00Z</dcterms:modified>
</cp:coreProperties>
</file>